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E6" w:rsidRPr="004E74E3" w:rsidRDefault="003D7D83">
      <w:pPr>
        <w:spacing w:before="63"/>
        <w:ind w:left="40"/>
        <w:rPr>
          <w:sz w:val="28"/>
          <w:lang w:val="it-IT"/>
        </w:rPr>
      </w:pPr>
      <w:r w:rsidRPr="004E74E3">
        <w:rPr>
          <w:sz w:val="28"/>
          <w:lang w:val="it-IT"/>
        </w:rPr>
        <w:t>DECISIONE N. 2239 del 14/02/2020</w:t>
      </w: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3D7D83">
      <w:pPr>
        <w:pStyle w:val="Corpotesto"/>
        <w:spacing w:before="2"/>
        <w:rPr>
          <w:sz w:val="28"/>
          <w:lang w:val="it-IT"/>
        </w:rPr>
      </w:pPr>
      <w:r>
        <w:rPr>
          <w:noProof/>
          <w:lang w:val="it-IT" w:eastAsia="it-IT"/>
        </w:rPr>
        <w:drawing>
          <wp:anchor distT="0" distB="0" distL="0" distR="0" simplePos="0" relativeHeight="251658240" behindDoc="0" locked="0" layoutInCell="1" allowOverlap="1">
            <wp:simplePos x="0" y="0"/>
            <wp:positionH relativeFrom="page">
              <wp:posOffset>1261110</wp:posOffset>
            </wp:positionH>
            <wp:positionV relativeFrom="paragraph">
              <wp:posOffset>230596</wp:posOffset>
            </wp:positionV>
            <wp:extent cx="3483262" cy="560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83262" cy="560831"/>
                    </a:xfrm>
                    <a:prstGeom prst="rect">
                      <a:avLst/>
                    </a:prstGeom>
                  </pic:spPr>
                </pic:pic>
              </a:graphicData>
            </a:graphic>
          </wp:anchor>
        </w:drawing>
      </w: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3D7D83">
      <w:pPr>
        <w:pStyle w:val="Corpotesto"/>
        <w:spacing w:before="213"/>
        <w:ind w:left="6132"/>
        <w:rPr>
          <w:lang w:val="it-IT"/>
        </w:rPr>
      </w:pPr>
      <w:r w:rsidRPr="004E74E3">
        <w:rPr>
          <w:lang w:val="it-IT"/>
        </w:rPr>
        <w:t>Decisione n. 2239 del 14 febbraio 2020</w:t>
      </w:r>
    </w:p>
    <w:p w:rsidR="002751E6" w:rsidRPr="004E74E3" w:rsidRDefault="002751E6">
      <w:pPr>
        <w:pStyle w:val="Corpotesto"/>
        <w:rPr>
          <w:sz w:val="26"/>
          <w:lang w:val="it-IT"/>
        </w:rPr>
      </w:pPr>
    </w:p>
    <w:p w:rsidR="002751E6" w:rsidRPr="004E74E3" w:rsidRDefault="002751E6">
      <w:pPr>
        <w:pStyle w:val="Corpotesto"/>
        <w:rPr>
          <w:sz w:val="26"/>
          <w:lang w:val="it-IT"/>
        </w:rPr>
      </w:pPr>
    </w:p>
    <w:p w:rsidR="002751E6" w:rsidRPr="004E74E3" w:rsidRDefault="002751E6">
      <w:pPr>
        <w:pStyle w:val="Corpotesto"/>
        <w:rPr>
          <w:sz w:val="27"/>
          <w:lang w:val="it-IT"/>
        </w:rPr>
      </w:pPr>
    </w:p>
    <w:p w:rsidR="002751E6" w:rsidRPr="004E74E3" w:rsidRDefault="003D7D83">
      <w:pPr>
        <w:pStyle w:val="Titolo1"/>
        <w:rPr>
          <w:lang w:val="it-IT"/>
        </w:rPr>
      </w:pPr>
      <w:r w:rsidRPr="004E74E3">
        <w:rPr>
          <w:lang w:val="it-IT"/>
        </w:rPr>
        <w:t>ARBITRO PER LE CONTROVERSIE FINANZIARIE</w:t>
      </w:r>
    </w:p>
    <w:p w:rsidR="002751E6" w:rsidRPr="004E74E3" w:rsidRDefault="002751E6">
      <w:pPr>
        <w:pStyle w:val="Corpotesto"/>
        <w:rPr>
          <w:b/>
          <w:sz w:val="26"/>
          <w:lang w:val="it-IT"/>
        </w:rPr>
      </w:pPr>
    </w:p>
    <w:p w:rsidR="002751E6" w:rsidRPr="004E74E3" w:rsidRDefault="003D7D83">
      <w:pPr>
        <w:pStyle w:val="Corpotesto"/>
        <w:spacing w:before="215" w:line="343" w:lineRule="auto"/>
        <w:ind w:left="4930" w:right="3216" w:firstLine="510"/>
        <w:rPr>
          <w:lang w:val="it-IT"/>
        </w:rPr>
      </w:pPr>
      <w:r w:rsidRPr="004E74E3">
        <w:rPr>
          <w:lang w:val="it-IT"/>
        </w:rPr>
        <w:t>Il Collegio composto dai Signori</w:t>
      </w:r>
    </w:p>
    <w:p w:rsidR="002751E6" w:rsidRPr="004E74E3" w:rsidRDefault="002751E6">
      <w:pPr>
        <w:pStyle w:val="Corpotesto"/>
        <w:spacing w:before="6"/>
        <w:rPr>
          <w:sz w:val="34"/>
          <w:lang w:val="it-IT"/>
        </w:rPr>
      </w:pPr>
    </w:p>
    <w:p w:rsidR="002751E6" w:rsidRPr="004E74E3" w:rsidRDefault="003D7D83">
      <w:pPr>
        <w:pStyle w:val="Corpotesto"/>
        <w:spacing w:line="343" w:lineRule="auto"/>
        <w:ind w:left="1988" w:right="4772"/>
        <w:rPr>
          <w:lang w:val="it-IT"/>
        </w:rPr>
      </w:pPr>
      <w:r w:rsidRPr="004E74E3">
        <w:rPr>
          <w:lang w:val="it-IT"/>
        </w:rPr>
        <w:t>Dr. G. E. Barbuzzi – Presidente Prof. M. Rispoli Farina - Membro Cons. Avv. D. Morgante – Membro Prof. Avv. G. Guizzi - Membro Prof. Avv. G. Afferni – Membro</w:t>
      </w:r>
    </w:p>
    <w:p w:rsidR="002751E6" w:rsidRPr="004E74E3" w:rsidRDefault="002751E6">
      <w:pPr>
        <w:pStyle w:val="Corpotesto"/>
        <w:spacing w:before="5"/>
        <w:rPr>
          <w:sz w:val="34"/>
          <w:lang w:val="it-IT"/>
        </w:rPr>
      </w:pPr>
    </w:p>
    <w:p w:rsidR="002751E6" w:rsidRPr="004E74E3" w:rsidRDefault="003D7D83">
      <w:pPr>
        <w:pStyle w:val="Corpotesto"/>
        <w:spacing w:before="1"/>
        <w:ind w:left="1988"/>
        <w:rPr>
          <w:lang w:val="it-IT"/>
        </w:rPr>
      </w:pPr>
      <w:r w:rsidRPr="004E74E3">
        <w:rPr>
          <w:lang w:val="it-IT"/>
        </w:rPr>
        <w:t>Relatore: Cons. Avv. D. Morgante</w:t>
      </w:r>
    </w:p>
    <w:p w:rsidR="002751E6" w:rsidRPr="004E74E3" w:rsidRDefault="002751E6">
      <w:pPr>
        <w:pStyle w:val="Corpotesto"/>
        <w:rPr>
          <w:sz w:val="26"/>
          <w:lang w:val="it-IT"/>
        </w:rPr>
      </w:pPr>
    </w:p>
    <w:p w:rsidR="002751E6" w:rsidRPr="004E74E3" w:rsidRDefault="003D7D83">
      <w:pPr>
        <w:pStyle w:val="Corpotesto"/>
        <w:spacing w:before="215" w:line="343" w:lineRule="auto"/>
        <w:ind w:left="1987" w:right="294"/>
        <w:jc w:val="both"/>
        <w:rPr>
          <w:lang w:val="it-IT"/>
        </w:rPr>
      </w:pPr>
      <w:r w:rsidRPr="004E74E3">
        <w:rPr>
          <w:lang w:val="it-IT"/>
        </w:rPr>
        <w:t xml:space="preserve">nella seduta del 13 gennaio 2020, in relazione al ricorso n. 3200, presentato dai sig.ri </w:t>
      </w:r>
      <w:r w:rsidR="004E74E3" w:rsidRPr="004E74E3">
        <w:rPr>
          <w:lang w:val="it-IT"/>
        </w:rPr>
        <w:t xml:space="preserve"> x</w:t>
      </w:r>
      <w:r w:rsidR="004E74E3">
        <w:rPr>
          <w:lang w:val="it-IT"/>
        </w:rPr>
        <w:t>xxxxxxxxxxxxxxxxxxxxxx</w:t>
      </w:r>
      <w:bookmarkStart w:id="0" w:name="_GoBack"/>
      <w:bookmarkEnd w:id="0"/>
      <w:r w:rsidRPr="004E74E3">
        <w:rPr>
          <w:lang w:val="it-IT"/>
        </w:rPr>
        <w:t>(di seguito “Parte Ricorrente” o “Ricorrenti”) nei confronti di Banca Monte dei Paschi di Siena S.p.a. (“l’Intermediario” o la “Banca”</w:t>
      </w:r>
      <w:r w:rsidRPr="004E74E3">
        <w:rPr>
          <w:lang w:val="it-IT"/>
        </w:rPr>
        <w:t>), dopo aver esaminato la documentazione in atti, ha pronunciato la seguente decisione.</w:t>
      </w:r>
    </w:p>
    <w:p w:rsidR="002751E6" w:rsidRPr="004E74E3" w:rsidRDefault="002751E6">
      <w:pPr>
        <w:pStyle w:val="Corpotesto"/>
        <w:rPr>
          <w:sz w:val="20"/>
          <w:lang w:val="it-IT"/>
        </w:rPr>
      </w:pPr>
    </w:p>
    <w:p w:rsidR="002751E6" w:rsidRPr="004E74E3" w:rsidRDefault="002751E6">
      <w:pPr>
        <w:rPr>
          <w:sz w:val="20"/>
          <w:lang w:val="it-IT"/>
        </w:rPr>
        <w:sectPr w:rsidR="002751E6" w:rsidRPr="004E74E3">
          <w:type w:val="continuous"/>
          <w:pgSz w:w="11900" w:h="16840"/>
          <w:pgMar w:top="420" w:right="1680" w:bottom="0" w:left="0" w:header="720" w:footer="720" w:gutter="0"/>
          <w:cols w:space="720"/>
        </w:sectPr>
      </w:pPr>
    </w:p>
    <w:p w:rsidR="002751E6" w:rsidRPr="004E74E3" w:rsidRDefault="002751E6">
      <w:pPr>
        <w:pStyle w:val="Corpotesto"/>
        <w:rPr>
          <w:sz w:val="26"/>
          <w:lang w:val="it-IT"/>
        </w:rPr>
      </w:pPr>
    </w:p>
    <w:p w:rsidR="002751E6" w:rsidRPr="004E74E3" w:rsidRDefault="002751E6">
      <w:pPr>
        <w:pStyle w:val="Corpotesto"/>
        <w:spacing w:before="8"/>
        <w:rPr>
          <w:sz w:val="22"/>
          <w:lang w:val="it-IT"/>
        </w:rPr>
      </w:pPr>
    </w:p>
    <w:p w:rsidR="002751E6" w:rsidRDefault="003D7D83">
      <w:pPr>
        <w:pStyle w:val="Paragrafoelenco"/>
        <w:numPr>
          <w:ilvl w:val="0"/>
          <w:numId w:val="4"/>
        </w:numPr>
        <w:tabs>
          <w:tab w:val="left" w:pos="1988"/>
        </w:tabs>
        <w:spacing w:before="1"/>
        <w:ind w:hanging="361"/>
        <w:rPr>
          <w:sz w:val="24"/>
        </w:rPr>
      </w:pPr>
      <w:r>
        <w:rPr>
          <w:sz w:val="24"/>
        </w:rPr>
        <w:t>Il ricorrente rappresenta</w:t>
      </w:r>
      <w:r>
        <w:rPr>
          <w:spacing w:val="-3"/>
          <w:sz w:val="24"/>
        </w:rPr>
        <w:t xml:space="preserve"> </w:t>
      </w:r>
      <w:r>
        <w:rPr>
          <w:spacing w:val="-4"/>
          <w:sz w:val="24"/>
        </w:rPr>
        <w:t>che:</w:t>
      </w:r>
    </w:p>
    <w:p w:rsidR="002751E6" w:rsidRDefault="003D7D83">
      <w:pPr>
        <w:pStyle w:val="Corpotesto"/>
        <w:spacing w:before="6"/>
        <w:rPr>
          <w:sz w:val="18"/>
        </w:rPr>
      </w:pPr>
      <w:r>
        <w:br w:type="column"/>
      </w:r>
    </w:p>
    <w:p w:rsidR="002751E6" w:rsidRDefault="003D7D83">
      <w:pPr>
        <w:ind w:left="818"/>
        <w:rPr>
          <w:b/>
          <w:sz w:val="19"/>
        </w:rPr>
      </w:pPr>
      <w:r>
        <w:rPr>
          <w:b/>
          <w:sz w:val="19"/>
        </w:rPr>
        <w:t>FATTO</w:t>
      </w:r>
    </w:p>
    <w:p w:rsidR="002751E6" w:rsidRDefault="002751E6">
      <w:pPr>
        <w:rPr>
          <w:sz w:val="19"/>
        </w:rPr>
        <w:sectPr w:rsidR="002751E6">
          <w:type w:val="continuous"/>
          <w:pgSz w:w="11900" w:h="16840"/>
          <w:pgMar w:top="420" w:right="1680" w:bottom="0" w:left="0" w:header="720" w:footer="720" w:gutter="0"/>
          <w:cols w:num="2" w:space="720" w:equalWidth="0">
            <w:col w:w="4754" w:space="40"/>
            <w:col w:w="5426"/>
          </w:cols>
        </w:sectPr>
      </w:pPr>
    </w:p>
    <w:p w:rsidR="002751E6" w:rsidRPr="004E74E3" w:rsidRDefault="003D7D83">
      <w:pPr>
        <w:pStyle w:val="Paragrafoelenco"/>
        <w:numPr>
          <w:ilvl w:val="0"/>
          <w:numId w:val="3"/>
        </w:numPr>
        <w:tabs>
          <w:tab w:val="left" w:pos="1987"/>
          <w:tab w:val="left" w:pos="1988"/>
        </w:tabs>
        <w:spacing w:before="102"/>
        <w:ind w:left="1988" w:hanging="285"/>
        <w:jc w:val="left"/>
        <w:rPr>
          <w:sz w:val="24"/>
          <w:lang w:val="it-IT"/>
        </w:rPr>
      </w:pPr>
      <w:r w:rsidRPr="004E74E3">
        <w:rPr>
          <w:sz w:val="24"/>
          <w:lang w:val="it-IT"/>
        </w:rPr>
        <w:lastRenderedPageBreak/>
        <w:t>sino al 2009, è stato dipendente</w:t>
      </w:r>
      <w:r w:rsidRPr="004E74E3">
        <w:rPr>
          <w:spacing w:val="-1"/>
          <w:sz w:val="24"/>
          <w:lang w:val="it-IT"/>
        </w:rPr>
        <w:t xml:space="preserve"> </w:t>
      </w:r>
      <w:r w:rsidRPr="004E74E3">
        <w:rPr>
          <w:sz w:val="24"/>
          <w:lang w:val="it-IT"/>
        </w:rPr>
        <w:t>dell’Intermediario;</w:t>
      </w:r>
    </w:p>
    <w:p w:rsidR="002751E6" w:rsidRPr="004E74E3" w:rsidRDefault="002751E6">
      <w:pPr>
        <w:pStyle w:val="Corpotesto"/>
        <w:rPr>
          <w:sz w:val="30"/>
          <w:lang w:val="it-IT"/>
        </w:rPr>
      </w:pPr>
    </w:p>
    <w:p w:rsidR="002751E6" w:rsidRPr="004E74E3" w:rsidRDefault="002751E6">
      <w:pPr>
        <w:pStyle w:val="Corpotesto"/>
        <w:rPr>
          <w:sz w:val="30"/>
          <w:lang w:val="it-IT"/>
        </w:rPr>
      </w:pPr>
    </w:p>
    <w:p w:rsidR="002751E6" w:rsidRPr="004E74E3" w:rsidRDefault="002751E6">
      <w:pPr>
        <w:pStyle w:val="Corpotesto"/>
        <w:rPr>
          <w:sz w:val="30"/>
          <w:lang w:val="it-IT"/>
        </w:rPr>
      </w:pPr>
    </w:p>
    <w:p w:rsidR="002751E6" w:rsidRPr="004E74E3" w:rsidRDefault="002751E6">
      <w:pPr>
        <w:pStyle w:val="Corpotesto"/>
        <w:spacing w:before="4"/>
        <w:rPr>
          <w:sz w:val="38"/>
          <w:lang w:val="it-IT"/>
        </w:rPr>
      </w:pPr>
    </w:p>
    <w:p w:rsidR="002751E6" w:rsidRDefault="003D7D83">
      <w:pPr>
        <w:ind w:left="1691"/>
        <w:jc w:val="center"/>
        <w:rPr>
          <w:rFonts w:ascii="Calibri"/>
        </w:rPr>
      </w:pPr>
      <w:r>
        <w:rPr>
          <w:rFonts w:ascii="Calibri"/>
        </w:rPr>
        <w:t>1</w:t>
      </w:r>
    </w:p>
    <w:p w:rsidR="002751E6" w:rsidRDefault="002751E6">
      <w:pPr>
        <w:pStyle w:val="Corpotesto"/>
        <w:rPr>
          <w:rFonts w:ascii="Calibri"/>
          <w:sz w:val="20"/>
        </w:rPr>
      </w:pPr>
    </w:p>
    <w:p w:rsidR="002751E6" w:rsidRDefault="002751E6">
      <w:pPr>
        <w:pStyle w:val="Corpotesto"/>
        <w:rPr>
          <w:rFonts w:ascii="Calibri"/>
          <w:sz w:val="20"/>
        </w:rPr>
      </w:pPr>
    </w:p>
    <w:p w:rsidR="002751E6" w:rsidRDefault="002751E6">
      <w:pPr>
        <w:pStyle w:val="Corpotesto"/>
        <w:rPr>
          <w:rFonts w:ascii="Calibri"/>
          <w:sz w:val="20"/>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rPr>
          <w:rFonts w:ascii="Calibri"/>
          <w:sz w:val="2"/>
        </w:rPr>
      </w:pPr>
    </w:p>
    <w:p w:rsidR="002751E6" w:rsidRDefault="002751E6">
      <w:pPr>
        <w:pStyle w:val="Corpotesto"/>
        <w:spacing w:before="4"/>
        <w:rPr>
          <w:rFonts w:ascii="Calibri"/>
          <w:sz w:val="2"/>
        </w:rPr>
      </w:pPr>
    </w:p>
    <w:p w:rsidR="002751E6" w:rsidRDefault="003D7D83">
      <w:pPr>
        <w:spacing w:line="19" w:lineRule="exact"/>
        <w:rPr>
          <w:sz w:val="2"/>
        </w:rPr>
      </w:pPr>
      <w:r>
        <w:rPr>
          <w:sz w:val="2"/>
        </w:rPr>
        <w:t>.</w:t>
      </w:r>
    </w:p>
    <w:p w:rsidR="002751E6" w:rsidRDefault="002751E6">
      <w:pPr>
        <w:spacing w:line="19" w:lineRule="exact"/>
        <w:rPr>
          <w:sz w:val="2"/>
        </w:rPr>
        <w:sectPr w:rsidR="002751E6">
          <w:type w:val="continuous"/>
          <w:pgSz w:w="11900" w:h="16840"/>
          <w:pgMar w:top="420" w:right="1680" w:bottom="0" w:left="0" w:header="720" w:footer="720" w:gutter="0"/>
          <w:cols w:space="720"/>
        </w:sectPr>
      </w:pPr>
    </w:p>
    <w:p w:rsidR="002751E6" w:rsidRDefault="002751E6">
      <w:pPr>
        <w:pStyle w:val="Corpotesto"/>
        <w:rPr>
          <w:sz w:val="20"/>
        </w:rPr>
      </w:pPr>
    </w:p>
    <w:p w:rsidR="002751E6" w:rsidRDefault="002751E6">
      <w:pPr>
        <w:pStyle w:val="Corpotesto"/>
        <w:rPr>
          <w:sz w:val="20"/>
        </w:rPr>
      </w:pPr>
    </w:p>
    <w:p w:rsidR="002751E6" w:rsidRDefault="002751E6">
      <w:pPr>
        <w:pStyle w:val="Corpotesto"/>
        <w:spacing w:before="8"/>
        <w:rPr>
          <w:sz w:val="17"/>
        </w:rPr>
      </w:pPr>
    </w:p>
    <w:p w:rsidR="002751E6" w:rsidRPr="004E74E3" w:rsidRDefault="003D7D83">
      <w:pPr>
        <w:pStyle w:val="Paragrafoelenco"/>
        <w:numPr>
          <w:ilvl w:val="0"/>
          <w:numId w:val="3"/>
        </w:numPr>
        <w:tabs>
          <w:tab w:val="left" w:pos="1988"/>
        </w:tabs>
        <w:spacing w:before="79" w:line="340" w:lineRule="auto"/>
        <w:ind w:right="319" w:hanging="294"/>
        <w:rPr>
          <w:sz w:val="24"/>
          <w:lang w:val="it-IT"/>
        </w:rPr>
      </w:pPr>
      <w:r w:rsidRPr="004E74E3">
        <w:rPr>
          <w:sz w:val="24"/>
          <w:lang w:val="it-IT"/>
        </w:rPr>
        <w:t xml:space="preserve">nel giugno </w:t>
      </w:r>
      <w:r w:rsidRPr="004E74E3">
        <w:rPr>
          <w:spacing w:val="-3"/>
          <w:sz w:val="24"/>
          <w:lang w:val="it-IT"/>
        </w:rPr>
        <w:t xml:space="preserve">2011 </w:t>
      </w:r>
      <w:r w:rsidRPr="004E74E3">
        <w:rPr>
          <w:sz w:val="24"/>
          <w:lang w:val="it-IT"/>
        </w:rPr>
        <w:t>“</w:t>
      </w:r>
      <w:r w:rsidRPr="004E74E3">
        <w:rPr>
          <w:i/>
          <w:sz w:val="24"/>
          <w:lang w:val="it-IT"/>
        </w:rPr>
        <w:t>il personale dell’intermediario ha suggerito, improvvidamente incautamente e fraudolentemente, di cedere una precedente obbligazione per “rifilare” il titolo in oggetto spacciato come banale obbligazioni bancaria quindi</w:t>
      </w:r>
      <w:r w:rsidRPr="004E74E3">
        <w:rPr>
          <w:i/>
          <w:sz w:val="24"/>
          <w:lang w:val="it-IT"/>
        </w:rPr>
        <w:t xml:space="preserve"> ancor più sicuro e redditivo del titolo venduto per </w:t>
      </w:r>
      <w:r w:rsidRPr="004E74E3">
        <w:rPr>
          <w:i/>
          <w:spacing w:val="-3"/>
          <w:sz w:val="24"/>
          <w:lang w:val="it-IT"/>
        </w:rPr>
        <w:t xml:space="preserve">circa </w:t>
      </w:r>
      <w:r w:rsidRPr="004E74E3">
        <w:rPr>
          <w:i/>
          <w:sz w:val="24"/>
          <w:lang w:val="it-IT"/>
        </w:rPr>
        <w:t>50 mila</w:t>
      </w:r>
      <w:r w:rsidRPr="004E74E3">
        <w:rPr>
          <w:i/>
          <w:spacing w:val="-8"/>
          <w:sz w:val="24"/>
          <w:lang w:val="it-IT"/>
        </w:rPr>
        <w:t xml:space="preserve"> </w:t>
      </w:r>
      <w:r w:rsidRPr="004E74E3">
        <w:rPr>
          <w:i/>
          <w:spacing w:val="-2"/>
          <w:sz w:val="24"/>
          <w:lang w:val="it-IT"/>
        </w:rPr>
        <w:t>euro</w:t>
      </w:r>
      <w:r w:rsidRPr="004E74E3">
        <w:rPr>
          <w:spacing w:val="-2"/>
          <w:sz w:val="24"/>
          <w:lang w:val="it-IT"/>
        </w:rPr>
        <w:t>”;</w:t>
      </w:r>
    </w:p>
    <w:p w:rsidR="002751E6" w:rsidRPr="004E74E3" w:rsidRDefault="003D7D83">
      <w:pPr>
        <w:pStyle w:val="Paragrafoelenco"/>
        <w:numPr>
          <w:ilvl w:val="0"/>
          <w:numId w:val="3"/>
        </w:numPr>
        <w:tabs>
          <w:tab w:val="left" w:pos="1988"/>
        </w:tabs>
        <w:spacing w:line="343" w:lineRule="auto"/>
        <w:ind w:right="298" w:hanging="294"/>
        <w:rPr>
          <w:sz w:val="24"/>
          <w:lang w:val="it-IT"/>
        </w:rPr>
      </w:pPr>
      <w:r w:rsidRPr="004E74E3">
        <w:rPr>
          <w:sz w:val="24"/>
          <w:lang w:val="it-IT"/>
        </w:rPr>
        <w:t>l’Intermediario non ha fornito informazioni in merito alle caratteristiche del prodotto, in particolare circa la natura subordinata dell’obbligazione, essendo presente esclusivamente</w:t>
      </w:r>
      <w:r w:rsidRPr="004E74E3">
        <w:rPr>
          <w:sz w:val="24"/>
          <w:lang w:val="it-IT"/>
        </w:rPr>
        <w:t xml:space="preserve"> una clausola di stile nell’ordine di acquisto in cui il cliente dava atto di conoscere i rischi del prodotto in questione, come tale inidonea “</w:t>
      </w:r>
      <w:r w:rsidRPr="004E74E3">
        <w:rPr>
          <w:i/>
          <w:sz w:val="24"/>
          <w:lang w:val="it-IT"/>
        </w:rPr>
        <w:t>ad assolvere agli obblighi di legge e regolamentari gravanti sull’intermediario (vedasi per tutte la decisione n</w:t>
      </w:r>
      <w:r w:rsidRPr="004E74E3">
        <w:rPr>
          <w:i/>
          <w:sz w:val="24"/>
          <w:lang w:val="it-IT"/>
        </w:rPr>
        <w:t>. 155 del 20.12.2017 ACF in materia di fondi immobiliari)</w:t>
      </w:r>
      <w:r w:rsidRPr="004E74E3">
        <w:rPr>
          <w:sz w:val="24"/>
          <w:lang w:val="it-IT"/>
        </w:rPr>
        <w:t>”;</w:t>
      </w:r>
    </w:p>
    <w:p w:rsidR="002751E6" w:rsidRPr="004E74E3" w:rsidRDefault="003D7D83">
      <w:pPr>
        <w:pStyle w:val="Paragrafoelenco"/>
        <w:numPr>
          <w:ilvl w:val="0"/>
          <w:numId w:val="3"/>
        </w:numPr>
        <w:tabs>
          <w:tab w:val="left" w:pos="1988"/>
        </w:tabs>
        <w:spacing w:line="272" w:lineRule="exact"/>
        <w:ind w:left="1988"/>
        <w:rPr>
          <w:sz w:val="24"/>
          <w:lang w:val="it-IT"/>
        </w:rPr>
      </w:pPr>
      <w:r w:rsidRPr="004E74E3">
        <w:rPr>
          <w:sz w:val="24"/>
          <w:lang w:val="it-IT"/>
        </w:rPr>
        <w:t>l’Intermediario,</w:t>
      </w:r>
      <w:r w:rsidRPr="004E74E3">
        <w:rPr>
          <w:spacing w:val="29"/>
          <w:sz w:val="24"/>
          <w:lang w:val="it-IT"/>
        </w:rPr>
        <w:t xml:space="preserve"> </w:t>
      </w:r>
      <w:r w:rsidRPr="004E74E3">
        <w:rPr>
          <w:sz w:val="24"/>
          <w:lang w:val="it-IT"/>
        </w:rPr>
        <w:t>oltre</w:t>
      </w:r>
      <w:r w:rsidRPr="004E74E3">
        <w:rPr>
          <w:spacing w:val="30"/>
          <w:sz w:val="24"/>
          <w:lang w:val="it-IT"/>
        </w:rPr>
        <w:t xml:space="preserve"> </w:t>
      </w:r>
      <w:r w:rsidRPr="004E74E3">
        <w:rPr>
          <w:sz w:val="24"/>
          <w:lang w:val="it-IT"/>
        </w:rPr>
        <w:t>a</w:t>
      </w:r>
      <w:r w:rsidRPr="004E74E3">
        <w:rPr>
          <w:spacing w:val="29"/>
          <w:sz w:val="24"/>
          <w:lang w:val="it-IT"/>
        </w:rPr>
        <w:t xml:space="preserve"> </w:t>
      </w:r>
      <w:r w:rsidRPr="004E74E3">
        <w:rPr>
          <w:sz w:val="24"/>
          <w:lang w:val="it-IT"/>
        </w:rPr>
        <w:t>non</w:t>
      </w:r>
      <w:r w:rsidRPr="004E74E3">
        <w:rPr>
          <w:spacing w:val="30"/>
          <w:sz w:val="24"/>
          <w:lang w:val="it-IT"/>
        </w:rPr>
        <w:t xml:space="preserve"> </w:t>
      </w:r>
      <w:r w:rsidRPr="004E74E3">
        <w:rPr>
          <w:sz w:val="24"/>
          <w:lang w:val="it-IT"/>
        </w:rPr>
        <w:t>aver</w:t>
      </w:r>
      <w:r w:rsidRPr="004E74E3">
        <w:rPr>
          <w:spacing w:val="32"/>
          <w:sz w:val="24"/>
          <w:lang w:val="it-IT"/>
        </w:rPr>
        <w:t xml:space="preserve"> </w:t>
      </w:r>
      <w:r w:rsidRPr="004E74E3">
        <w:rPr>
          <w:sz w:val="24"/>
          <w:lang w:val="it-IT"/>
        </w:rPr>
        <w:t>profilato</w:t>
      </w:r>
      <w:r w:rsidRPr="004E74E3">
        <w:rPr>
          <w:spacing w:val="29"/>
          <w:sz w:val="24"/>
          <w:lang w:val="it-IT"/>
        </w:rPr>
        <w:t xml:space="preserve"> </w:t>
      </w:r>
      <w:r w:rsidRPr="004E74E3">
        <w:rPr>
          <w:sz w:val="24"/>
          <w:lang w:val="it-IT"/>
        </w:rPr>
        <w:t>Parte</w:t>
      </w:r>
      <w:r w:rsidRPr="004E74E3">
        <w:rPr>
          <w:spacing w:val="32"/>
          <w:sz w:val="24"/>
          <w:lang w:val="it-IT"/>
        </w:rPr>
        <w:t xml:space="preserve"> </w:t>
      </w:r>
      <w:r w:rsidRPr="004E74E3">
        <w:rPr>
          <w:sz w:val="24"/>
          <w:lang w:val="it-IT"/>
        </w:rPr>
        <w:t>ricorrente,</w:t>
      </w:r>
      <w:r w:rsidRPr="004E74E3">
        <w:rPr>
          <w:spacing w:val="30"/>
          <w:sz w:val="24"/>
          <w:lang w:val="it-IT"/>
        </w:rPr>
        <w:t xml:space="preserve"> </w:t>
      </w:r>
      <w:r w:rsidRPr="004E74E3">
        <w:rPr>
          <w:sz w:val="24"/>
          <w:lang w:val="it-IT"/>
        </w:rPr>
        <w:t>non</w:t>
      </w:r>
      <w:r w:rsidRPr="004E74E3">
        <w:rPr>
          <w:spacing w:val="29"/>
          <w:sz w:val="24"/>
          <w:lang w:val="it-IT"/>
        </w:rPr>
        <w:t xml:space="preserve"> </w:t>
      </w:r>
      <w:r w:rsidRPr="004E74E3">
        <w:rPr>
          <w:sz w:val="24"/>
          <w:lang w:val="it-IT"/>
        </w:rPr>
        <w:t>avendo</w:t>
      </w:r>
      <w:r w:rsidRPr="004E74E3">
        <w:rPr>
          <w:spacing w:val="32"/>
          <w:sz w:val="24"/>
          <w:lang w:val="it-IT"/>
        </w:rPr>
        <w:t xml:space="preserve"> </w:t>
      </w:r>
      <w:r w:rsidRPr="004E74E3">
        <w:rPr>
          <w:sz w:val="24"/>
          <w:lang w:val="it-IT"/>
        </w:rPr>
        <w:t>fornito</w:t>
      </w:r>
      <w:r w:rsidRPr="004E74E3">
        <w:rPr>
          <w:spacing w:val="29"/>
          <w:sz w:val="24"/>
          <w:lang w:val="it-IT"/>
        </w:rPr>
        <w:t xml:space="preserve"> </w:t>
      </w:r>
      <w:r w:rsidRPr="004E74E3">
        <w:rPr>
          <w:sz w:val="24"/>
          <w:lang w:val="it-IT"/>
        </w:rPr>
        <w:t>i</w:t>
      </w:r>
    </w:p>
    <w:p w:rsidR="002751E6" w:rsidRPr="004E74E3" w:rsidRDefault="003D7D83">
      <w:pPr>
        <w:spacing w:before="104" w:line="343" w:lineRule="auto"/>
        <w:ind w:left="1998" w:right="300"/>
        <w:jc w:val="both"/>
        <w:rPr>
          <w:sz w:val="24"/>
          <w:lang w:val="it-IT"/>
        </w:rPr>
      </w:pPr>
      <w:r w:rsidRPr="004E74E3">
        <w:rPr>
          <w:sz w:val="24"/>
          <w:lang w:val="it-IT"/>
        </w:rPr>
        <w:t>questionari Mifid a seguito di espressa richiesta del cliente, ha posto in essere un investimento inadeguato e inappropriato rispetto al profilo dei ricorrenti, “</w:t>
      </w:r>
      <w:r w:rsidRPr="004E74E3">
        <w:rPr>
          <w:i/>
          <w:sz w:val="24"/>
          <w:lang w:val="it-IT"/>
        </w:rPr>
        <w:t>che mai aveva[no] investito in strumenti complessi</w:t>
      </w:r>
      <w:r w:rsidRPr="004E74E3">
        <w:rPr>
          <w:sz w:val="24"/>
          <w:lang w:val="it-IT"/>
        </w:rPr>
        <w:t>”;</w:t>
      </w:r>
    </w:p>
    <w:p w:rsidR="002751E6" w:rsidRPr="004E74E3" w:rsidRDefault="003D7D83">
      <w:pPr>
        <w:pStyle w:val="Paragrafoelenco"/>
        <w:numPr>
          <w:ilvl w:val="0"/>
          <w:numId w:val="3"/>
        </w:numPr>
        <w:tabs>
          <w:tab w:val="left" w:pos="1987"/>
          <w:tab w:val="left" w:pos="1988"/>
        </w:tabs>
        <w:spacing w:line="279" w:lineRule="exact"/>
        <w:ind w:left="1988"/>
        <w:jc w:val="left"/>
        <w:rPr>
          <w:i/>
          <w:sz w:val="24"/>
          <w:lang w:val="it-IT"/>
        </w:rPr>
      </w:pPr>
      <w:r w:rsidRPr="004E74E3">
        <w:rPr>
          <w:sz w:val="24"/>
          <w:lang w:val="it-IT"/>
        </w:rPr>
        <w:t>infine, “</w:t>
      </w:r>
      <w:r w:rsidRPr="004E74E3">
        <w:rPr>
          <w:i/>
          <w:sz w:val="24"/>
          <w:lang w:val="it-IT"/>
        </w:rPr>
        <w:t xml:space="preserve">la negoziazione appare nulla ai </w:t>
      </w:r>
      <w:r w:rsidRPr="004E74E3">
        <w:rPr>
          <w:i/>
          <w:sz w:val="24"/>
          <w:lang w:val="it-IT"/>
        </w:rPr>
        <w:t>sensi dell’articolo 23 del TUIF in</w:t>
      </w:r>
      <w:r w:rsidRPr="004E74E3">
        <w:rPr>
          <w:i/>
          <w:spacing w:val="-11"/>
          <w:sz w:val="24"/>
          <w:lang w:val="it-IT"/>
        </w:rPr>
        <w:t xml:space="preserve"> </w:t>
      </w:r>
      <w:r w:rsidRPr="004E74E3">
        <w:rPr>
          <w:i/>
          <w:sz w:val="24"/>
          <w:lang w:val="it-IT"/>
        </w:rPr>
        <w:t>quanto,</w:t>
      </w:r>
    </w:p>
    <w:p w:rsidR="002751E6" w:rsidRPr="004E74E3" w:rsidRDefault="003D7D83">
      <w:pPr>
        <w:spacing w:before="117" w:line="343" w:lineRule="auto"/>
        <w:ind w:left="1998" w:right="302"/>
        <w:rPr>
          <w:sz w:val="24"/>
          <w:lang w:val="it-IT"/>
        </w:rPr>
      </w:pPr>
      <w:r w:rsidRPr="004E74E3">
        <w:rPr>
          <w:i/>
          <w:sz w:val="24"/>
          <w:lang w:val="it-IT"/>
        </w:rPr>
        <w:t>nonostante espressa richiesta, non risulta esistente il cosiddetto contratto quadro</w:t>
      </w:r>
      <w:r w:rsidRPr="004E74E3">
        <w:rPr>
          <w:sz w:val="24"/>
          <w:lang w:val="it-IT"/>
        </w:rPr>
        <w:t>”;</w:t>
      </w:r>
    </w:p>
    <w:p w:rsidR="002751E6" w:rsidRPr="004E74E3" w:rsidRDefault="003D7D83">
      <w:pPr>
        <w:pStyle w:val="Paragrafoelenco"/>
        <w:numPr>
          <w:ilvl w:val="0"/>
          <w:numId w:val="3"/>
        </w:numPr>
        <w:tabs>
          <w:tab w:val="left" w:pos="1987"/>
          <w:tab w:val="left" w:pos="1988"/>
        </w:tabs>
        <w:spacing w:line="278" w:lineRule="exact"/>
        <w:ind w:left="1988"/>
        <w:jc w:val="left"/>
        <w:rPr>
          <w:i/>
          <w:sz w:val="24"/>
          <w:lang w:val="it-IT"/>
        </w:rPr>
      </w:pPr>
      <w:r w:rsidRPr="004E74E3">
        <w:rPr>
          <w:sz w:val="24"/>
          <w:lang w:val="it-IT"/>
        </w:rPr>
        <w:t>il</w:t>
      </w:r>
      <w:r w:rsidRPr="004E74E3">
        <w:rPr>
          <w:spacing w:val="21"/>
          <w:sz w:val="24"/>
          <w:lang w:val="it-IT"/>
        </w:rPr>
        <w:t xml:space="preserve"> </w:t>
      </w:r>
      <w:r w:rsidRPr="004E74E3">
        <w:rPr>
          <w:sz w:val="24"/>
          <w:lang w:val="it-IT"/>
        </w:rPr>
        <w:t>danno</w:t>
      </w:r>
      <w:r w:rsidRPr="004E74E3">
        <w:rPr>
          <w:spacing w:val="22"/>
          <w:sz w:val="24"/>
          <w:lang w:val="it-IT"/>
        </w:rPr>
        <w:t xml:space="preserve"> </w:t>
      </w:r>
      <w:r w:rsidRPr="004E74E3">
        <w:rPr>
          <w:sz w:val="24"/>
          <w:lang w:val="it-IT"/>
        </w:rPr>
        <w:t>patito</w:t>
      </w:r>
      <w:r w:rsidRPr="004E74E3">
        <w:rPr>
          <w:spacing w:val="23"/>
          <w:sz w:val="24"/>
          <w:lang w:val="it-IT"/>
        </w:rPr>
        <w:t xml:space="preserve"> </w:t>
      </w:r>
      <w:r w:rsidRPr="004E74E3">
        <w:rPr>
          <w:sz w:val="24"/>
          <w:lang w:val="it-IT"/>
        </w:rPr>
        <w:t>quindi</w:t>
      </w:r>
      <w:r w:rsidRPr="004E74E3">
        <w:rPr>
          <w:spacing w:val="21"/>
          <w:sz w:val="24"/>
          <w:lang w:val="it-IT"/>
        </w:rPr>
        <w:t xml:space="preserve"> </w:t>
      </w:r>
      <w:r w:rsidRPr="004E74E3">
        <w:rPr>
          <w:sz w:val="24"/>
          <w:lang w:val="it-IT"/>
        </w:rPr>
        <w:t>ammonta</w:t>
      </w:r>
      <w:r w:rsidRPr="004E74E3">
        <w:rPr>
          <w:spacing w:val="22"/>
          <w:sz w:val="24"/>
          <w:lang w:val="it-IT"/>
        </w:rPr>
        <w:t xml:space="preserve"> </w:t>
      </w:r>
      <w:r w:rsidRPr="004E74E3">
        <w:rPr>
          <w:sz w:val="24"/>
          <w:lang w:val="it-IT"/>
        </w:rPr>
        <w:t>“</w:t>
      </w:r>
      <w:r w:rsidRPr="004E74E3">
        <w:rPr>
          <w:i/>
          <w:sz w:val="24"/>
          <w:lang w:val="it-IT"/>
        </w:rPr>
        <w:t>a</w:t>
      </w:r>
      <w:r w:rsidRPr="004E74E3">
        <w:rPr>
          <w:i/>
          <w:spacing w:val="21"/>
          <w:sz w:val="24"/>
          <w:lang w:val="it-IT"/>
        </w:rPr>
        <w:t xml:space="preserve"> </w:t>
      </w:r>
      <w:r w:rsidRPr="004E74E3">
        <w:rPr>
          <w:i/>
          <w:spacing w:val="-3"/>
          <w:sz w:val="24"/>
          <w:lang w:val="it-IT"/>
        </w:rPr>
        <w:t>circa</w:t>
      </w:r>
      <w:r w:rsidRPr="004E74E3">
        <w:rPr>
          <w:i/>
          <w:spacing w:val="22"/>
          <w:sz w:val="24"/>
          <w:lang w:val="it-IT"/>
        </w:rPr>
        <w:t xml:space="preserve"> </w:t>
      </w:r>
      <w:r w:rsidRPr="004E74E3">
        <w:rPr>
          <w:i/>
          <w:sz w:val="24"/>
          <w:lang w:val="it-IT"/>
        </w:rPr>
        <w:t>36</w:t>
      </w:r>
      <w:r w:rsidRPr="004E74E3">
        <w:rPr>
          <w:i/>
          <w:spacing w:val="20"/>
          <w:sz w:val="24"/>
          <w:lang w:val="it-IT"/>
        </w:rPr>
        <w:t xml:space="preserve"> </w:t>
      </w:r>
      <w:r w:rsidRPr="004E74E3">
        <w:rPr>
          <w:i/>
          <w:sz w:val="24"/>
          <w:lang w:val="it-IT"/>
        </w:rPr>
        <w:t>mila</w:t>
      </w:r>
      <w:r w:rsidRPr="004E74E3">
        <w:rPr>
          <w:i/>
          <w:spacing w:val="23"/>
          <w:sz w:val="24"/>
          <w:lang w:val="it-IT"/>
        </w:rPr>
        <w:t xml:space="preserve"> </w:t>
      </w:r>
      <w:r w:rsidRPr="004E74E3">
        <w:rPr>
          <w:i/>
          <w:spacing w:val="-3"/>
          <w:sz w:val="24"/>
          <w:lang w:val="it-IT"/>
        </w:rPr>
        <w:t>euro</w:t>
      </w:r>
      <w:r w:rsidRPr="004E74E3">
        <w:rPr>
          <w:i/>
          <w:spacing w:val="22"/>
          <w:sz w:val="24"/>
          <w:lang w:val="it-IT"/>
        </w:rPr>
        <w:t xml:space="preserve"> </w:t>
      </w:r>
      <w:r w:rsidRPr="004E74E3">
        <w:rPr>
          <w:i/>
          <w:spacing w:val="-3"/>
          <w:sz w:val="24"/>
          <w:lang w:val="it-IT"/>
        </w:rPr>
        <w:t>ovvero</w:t>
      </w:r>
      <w:r w:rsidRPr="004E74E3">
        <w:rPr>
          <w:i/>
          <w:spacing w:val="22"/>
          <w:sz w:val="24"/>
          <w:lang w:val="it-IT"/>
        </w:rPr>
        <w:t xml:space="preserve"> </w:t>
      </w:r>
      <w:r w:rsidRPr="004E74E3">
        <w:rPr>
          <w:i/>
          <w:sz w:val="24"/>
          <w:lang w:val="it-IT"/>
        </w:rPr>
        <w:t>alla</w:t>
      </w:r>
      <w:r w:rsidRPr="004E74E3">
        <w:rPr>
          <w:i/>
          <w:spacing w:val="23"/>
          <w:sz w:val="24"/>
          <w:lang w:val="it-IT"/>
        </w:rPr>
        <w:t xml:space="preserve"> </w:t>
      </w:r>
      <w:r w:rsidRPr="004E74E3">
        <w:rPr>
          <w:i/>
          <w:sz w:val="24"/>
          <w:lang w:val="it-IT"/>
        </w:rPr>
        <w:t>differenza</w:t>
      </w:r>
      <w:r w:rsidRPr="004E74E3">
        <w:rPr>
          <w:i/>
          <w:spacing w:val="20"/>
          <w:sz w:val="24"/>
          <w:lang w:val="it-IT"/>
        </w:rPr>
        <w:t xml:space="preserve"> </w:t>
      </w:r>
      <w:r w:rsidRPr="004E74E3">
        <w:rPr>
          <w:i/>
          <w:sz w:val="24"/>
          <w:lang w:val="it-IT"/>
        </w:rPr>
        <w:t>tra</w:t>
      </w:r>
    </w:p>
    <w:p w:rsidR="002751E6" w:rsidRPr="004E74E3" w:rsidRDefault="003D7D83">
      <w:pPr>
        <w:spacing w:before="119" w:line="343" w:lineRule="auto"/>
        <w:ind w:left="1998" w:right="325"/>
        <w:jc w:val="both"/>
        <w:rPr>
          <w:sz w:val="24"/>
          <w:lang w:val="it-IT"/>
        </w:rPr>
      </w:pPr>
      <w:r w:rsidRPr="004E74E3">
        <w:rPr>
          <w:i/>
          <w:sz w:val="24"/>
          <w:lang w:val="it-IT"/>
        </w:rPr>
        <w:t>l’attuale controvalore delle azioni ed il valore nominale, oltre alla mancata percezione comunque delle cedole per gli anni dal 2017 al 2020, cui i ricorrenti hanno diritto visto che hanno ceduto un precedente titolo con un rendimento 4,75%”</w:t>
      </w:r>
      <w:r w:rsidRPr="004E74E3">
        <w:rPr>
          <w:sz w:val="24"/>
          <w:lang w:val="it-IT"/>
        </w:rPr>
        <w:t>.</w:t>
      </w:r>
    </w:p>
    <w:p w:rsidR="002751E6" w:rsidRPr="004E74E3" w:rsidRDefault="002751E6">
      <w:pPr>
        <w:pStyle w:val="Corpotesto"/>
        <w:spacing w:before="5"/>
        <w:rPr>
          <w:sz w:val="34"/>
          <w:lang w:val="it-IT"/>
        </w:rPr>
      </w:pPr>
    </w:p>
    <w:p w:rsidR="002751E6" w:rsidRDefault="003D7D83">
      <w:pPr>
        <w:pStyle w:val="Paragrafoelenco"/>
        <w:numPr>
          <w:ilvl w:val="0"/>
          <w:numId w:val="4"/>
        </w:numPr>
        <w:tabs>
          <w:tab w:val="left" w:pos="1988"/>
        </w:tabs>
        <w:jc w:val="both"/>
        <w:rPr>
          <w:sz w:val="24"/>
        </w:rPr>
      </w:pPr>
      <w:r>
        <w:rPr>
          <w:sz w:val="24"/>
        </w:rPr>
        <w:t>L’Intermedia</w:t>
      </w:r>
      <w:r>
        <w:rPr>
          <w:sz w:val="24"/>
        </w:rPr>
        <w:t>rio rappresenta</w:t>
      </w:r>
      <w:r>
        <w:rPr>
          <w:spacing w:val="-2"/>
          <w:sz w:val="24"/>
        </w:rPr>
        <w:t xml:space="preserve"> </w:t>
      </w:r>
      <w:r>
        <w:rPr>
          <w:sz w:val="24"/>
        </w:rPr>
        <w:t>che:</w:t>
      </w:r>
    </w:p>
    <w:p w:rsidR="002751E6" w:rsidRPr="004E74E3" w:rsidRDefault="003D7D83">
      <w:pPr>
        <w:pStyle w:val="Paragrafoelenco"/>
        <w:numPr>
          <w:ilvl w:val="0"/>
          <w:numId w:val="2"/>
        </w:numPr>
        <w:tabs>
          <w:tab w:val="left" w:pos="1988"/>
        </w:tabs>
        <w:spacing w:before="103" w:line="340" w:lineRule="auto"/>
        <w:ind w:right="298"/>
        <w:rPr>
          <w:rFonts w:ascii="Symbol" w:hAnsi="Symbol"/>
          <w:sz w:val="24"/>
          <w:lang w:val="it-IT"/>
        </w:rPr>
      </w:pPr>
      <w:r w:rsidRPr="004E74E3">
        <w:rPr>
          <w:sz w:val="24"/>
          <w:lang w:val="it-IT"/>
        </w:rPr>
        <w:t>come riferito nel ricorso, Parte ricorrente “</w:t>
      </w:r>
      <w:r w:rsidRPr="004E74E3">
        <w:rPr>
          <w:i/>
          <w:sz w:val="24"/>
          <w:lang w:val="it-IT"/>
        </w:rPr>
        <w:t xml:space="preserve">è un ex dipendente, Quadro Direttivo della Banca, che nel tempo ha ricoperto diversi incarichi, tra cui anche nel comparto Amministrazione </w:t>
      </w:r>
      <w:r w:rsidRPr="004E74E3">
        <w:rPr>
          <w:i/>
          <w:spacing w:val="-3"/>
          <w:sz w:val="24"/>
          <w:lang w:val="it-IT"/>
        </w:rPr>
        <w:t xml:space="preserve">Titoli </w:t>
      </w:r>
      <w:r w:rsidRPr="004E74E3">
        <w:rPr>
          <w:i/>
          <w:sz w:val="24"/>
          <w:lang w:val="it-IT"/>
        </w:rPr>
        <w:t>della Direzione Generale: proprio in relazio</w:t>
      </w:r>
      <w:r w:rsidRPr="004E74E3">
        <w:rPr>
          <w:i/>
          <w:sz w:val="24"/>
          <w:lang w:val="it-IT"/>
        </w:rPr>
        <w:t>ne a tali elementi fattuali è a nostro giudizio inammissibile l’affermazione del legale di controparte che l’operazione fosse "</w:t>
      </w:r>
      <w:r w:rsidRPr="004E74E3">
        <w:rPr>
          <w:sz w:val="24"/>
          <w:lang w:val="it-IT"/>
        </w:rPr>
        <w:t>chiaramente inadeguata e inappropriata per i clienti che mai avevano investito in strumenti complessi e</w:t>
      </w:r>
      <w:r w:rsidRPr="004E74E3">
        <w:rPr>
          <w:spacing w:val="-5"/>
          <w:sz w:val="24"/>
          <w:lang w:val="it-IT"/>
        </w:rPr>
        <w:t xml:space="preserve"> </w:t>
      </w:r>
      <w:r w:rsidRPr="004E74E3">
        <w:rPr>
          <w:sz w:val="24"/>
          <w:lang w:val="it-IT"/>
        </w:rPr>
        <w:t>illiquidi</w:t>
      </w:r>
      <w:r w:rsidRPr="004E74E3">
        <w:rPr>
          <w:i/>
          <w:sz w:val="24"/>
          <w:lang w:val="it-IT"/>
        </w:rPr>
        <w:t>"</w:t>
      </w:r>
      <w:r w:rsidRPr="004E74E3">
        <w:rPr>
          <w:sz w:val="24"/>
          <w:lang w:val="it-IT"/>
        </w:rPr>
        <w:t>”;</w:t>
      </w:r>
    </w:p>
    <w:p w:rsidR="002751E6" w:rsidRPr="004E74E3" w:rsidRDefault="002751E6">
      <w:pPr>
        <w:spacing w:line="340" w:lineRule="auto"/>
        <w:jc w:val="both"/>
        <w:rPr>
          <w:rFonts w:ascii="Symbol" w:hAnsi="Symbol"/>
          <w:sz w:val="24"/>
          <w:lang w:val="it-IT"/>
        </w:rPr>
        <w:sectPr w:rsidR="002751E6" w:rsidRPr="004E74E3">
          <w:footerReference w:type="default" r:id="rId9"/>
          <w:pgSz w:w="11900" w:h="16840"/>
          <w:pgMar w:top="1600" w:right="1680" w:bottom="1180" w:left="0" w:header="0" w:footer="999" w:gutter="0"/>
          <w:pgNumType w:start="2"/>
          <w:cols w:space="720"/>
        </w:sect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rPr>
          <w:sz w:val="17"/>
          <w:lang w:val="it-IT"/>
        </w:rPr>
      </w:pPr>
    </w:p>
    <w:p w:rsidR="002751E6" w:rsidRPr="004E74E3" w:rsidRDefault="003D7D83">
      <w:pPr>
        <w:pStyle w:val="Paragrafoelenco"/>
        <w:numPr>
          <w:ilvl w:val="0"/>
          <w:numId w:val="2"/>
        </w:numPr>
        <w:tabs>
          <w:tab w:val="left" w:pos="1988"/>
        </w:tabs>
        <w:spacing w:before="77" w:line="340" w:lineRule="auto"/>
        <w:ind w:right="320"/>
        <w:rPr>
          <w:rFonts w:ascii="Symbol" w:hAnsi="Symbol"/>
          <w:sz w:val="25"/>
          <w:lang w:val="it-IT"/>
        </w:rPr>
      </w:pPr>
      <w:r w:rsidRPr="004E74E3">
        <w:rPr>
          <w:sz w:val="24"/>
          <w:lang w:val="it-IT"/>
        </w:rPr>
        <w:t>inoltre, “</w:t>
      </w:r>
      <w:r w:rsidRPr="004E74E3">
        <w:rPr>
          <w:i/>
          <w:sz w:val="24"/>
          <w:lang w:val="it-IT"/>
        </w:rPr>
        <w:t xml:space="preserve">l’appartenenza al personale della Banca e la professione di bancario, </w:t>
      </w:r>
      <w:r w:rsidRPr="004E74E3">
        <w:rPr>
          <w:i/>
          <w:sz w:val="24"/>
          <w:lang w:val="it-IT"/>
        </w:rPr>
        <w:t>svolta per un lunghissimo periodo, attestano, a nostro avviso indubitabilmente, il possesso di conoscenze finanziarie superiori a quelle dell’investitore medio. Ciò ad ulteriore conferma del fatto che l’operazione contestata è stata espressamente richiesta</w:t>
      </w:r>
      <w:r w:rsidRPr="004E74E3">
        <w:rPr>
          <w:i/>
          <w:sz w:val="24"/>
          <w:lang w:val="it-IT"/>
        </w:rPr>
        <w:t xml:space="preserve"> dal cliente, il quale ha anche sottoscritto la dichiarazione in cui "Prendo/iamo atto "della comunicazione che precede e confermo/iamo espressamente</w:t>
      </w:r>
      <w:r w:rsidRPr="004E74E3">
        <w:rPr>
          <w:i/>
          <w:spacing w:val="-4"/>
          <w:sz w:val="24"/>
          <w:lang w:val="it-IT"/>
        </w:rPr>
        <w:t xml:space="preserve"> </w:t>
      </w:r>
      <w:r w:rsidRPr="004E74E3">
        <w:rPr>
          <w:i/>
          <w:sz w:val="24"/>
          <w:lang w:val="it-IT"/>
        </w:rPr>
        <w:t>di</w:t>
      </w:r>
      <w:r w:rsidRPr="004E74E3">
        <w:rPr>
          <w:i/>
          <w:spacing w:val="-6"/>
          <w:sz w:val="24"/>
          <w:lang w:val="it-IT"/>
        </w:rPr>
        <w:t xml:space="preserve"> </w:t>
      </w:r>
      <w:r w:rsidRPr="004E74E3">
        <w:rPr>
          <w:i/>
          <w:sz w:val="24"/>
          <w:lang w:val="it-IT"/>
        </w:rPr>
        <w:t>effettuare</w:t>
      </w:r>
      <w:r w:rsidRPr="004E74E3">
        <w:rPr>
          <w:i/>
          <w:spacing w:val="-4"/>
          <w:sz w:val="24"/>
          <w:lang w:val="it-IT"/>
        </w:rPr>
        <w:t xml:space="preserve"> </w:t>
      </w:r>
      <w:r w:rsidRPr="004E74E3">
        <w:rPr>
          <w:i/>
          <w:sz w:val="24"/>
          <w:lang w:val="it-IT"/>
        </w:rPr>
        <w:t>la</w:t>
      </w:r>
      <w:r w:rsidRPr="004E74E3">
        <w:rPr>
          <w:i/>
          <w:spacing w:val="-5"/>
          <w:sz w:val="24"/>
          <w:lang w:val="it-IT"/>
        </w:rPr>
        <w:t xml:space="preserve"> </w:t>
      </w:r>
      <w:r w:rsidRPr="004E74E3">
        <w:rPr>
          <w:i/>
          <w:sz w:val="24"/>
          <w:lang w:val="it-IT"/>
        </w:rPr>
        <w:t>operazione</w:t>
      </w:r>
      <w:r w:rsidRPr="004E74E3">
        <w:rPr>
          <w:i/>
          <w:spacing w:val="-6"/>
          <w:sz w:val="24"/>
          <w:lang w:val="it-IT"/>
        </w:rPr>
        <w:t xml:space="preserve"> </w:t>
      </w:r>
      <w:r w:rsidRPr="004E74E3">
        <w:rPr>
          <w:i/>
          <w:sz w:val="24"/>
          <w:lang w:val="it-IT"/>
        </w:rPr>
        <w:t>di</w:t>
      </w:r>
      <w:r w:rsidRPr="004E74E3">
        <w:rPr>
          <w:i/>
          <w:spacing w:val="-6"/>
          <w:sz w:val="24"/>
          <w:lang w:val="it-IT"/>
        </w:rPr>
        <w:t xml:space="preserve"> </w:t>
      </w:r>
      <w:r w:rsidRPr="004E74E3">
        <w:rPr>
          <w:i/>
          <w:sz w:val="24"/>
          <w:lang w:val="it-IT"/>
        </w:rPr>
        <w:t>cui</w:t>
      </w:r>
      <w:r w:rsidRPr="004E74E3">
        <w:rPr>
          <w:i/>
          <w:spacing w:val="-4"/>
          <w:sz w:val="24"/>
          <w:lang w:val="it-IT"/>
        </w:rPr>
        <w:t xml:space="preserve"> </w:t>
      </w:r>
      <w:r w:rsidRPr="004E74E3">
        <w:rPr>
          <w:i/>
          <w:sz w:val="24"/>
          <w:lang w:val="it-IT"/>
        </w:rPr>
        <w:t>al</w:t>
      </w:r>
      <w:r w:rsidRPr="004E74E3">
        <w:rPr>
          <w:i/>
          <w:spacing w:val="-6"/>
          <w:sz w:val="24"/>
          <w:lang w:val="it-IT"/>
        </w:rPr>
        <w:t xml:space="preserve"> </w:t>
      </w:r>
      <w:r w:rsidRPr="004E74E3">
        <w:rPr>
          <w:i/>
          <w:sz w:val="24"/>
          <w:lang w:val="it-IT"/>
        </w:rPr>
        <w:t>presente</w:t>
      </w:r>
      <w:r w:rsidRPr="004E74E3">
        <w:rPr>
          <w:i/>
          <w:spacing w:val="-6"/>
          <w:sz w:val="24"/>
          <w:lang w:val="it-IT"/>
        </w:rPr>
        <w:t xml:space="preserve"> </w:t>
      </w:r>
      <w:r w:rsidRPr="004E74E3">
        <w:rPr>
          <w:i/>
          <w:sz w:val="24"/>
          <w:lang w:val="it-IT"/>
        </w:rPr>
        <w:t>ordine</w:t>
      </w:r>
      <w:r w:rsidRPr="004E74E3">
        <w:rPr>
          <w:i/>
          <w:spacing w:val="-4"/>
          <w:sz w:val="24"/>
          <w:lang w:val="it-IT"/>
        </w:rPr>
        <w:t xml:space="preserve"> </w:t>
      </w:r>
      <w:r w:rsidRPr="004E74E3">
        <w:rPr>
          <w:i/>
          <w:sz w:val="24"/>
          <w:lang w:val="it-IT"/>
        </w:rPr>
        <w:t>a</w:t>
      </w:r>
      <w:r w:rsidRPr="004E74E3">
        <w:rPr>
          <w:i/>
          <w:spacing w:val="-4"/>
          <w:sz w:val="24"/>
          <w:lang w:val="it-IT"/>
        </w:rPr>
        <w:t xml:space="preserve"> </w:t>
      </w:r>
      <w:r w:rsidRPr="004E74E3">
        <w:rPr>
          <w:i/>
          <w:sz w:val="24"/>
          <w:lang w:val="it-IT"/>
        </w:rPr>
        <w:t>fronte</w:t>
      </w:r>
      <w:r w:rsidRPr="004E74E3">
        <w:rPr>
          <w:i/>
          <w:spacing w:val="-6"/>
          <w:sz w:val="24"/>
          <w:lang w:val="it-IT"/>
        </w:rPr>
        <w:t xml:space="preserve"> </w:t>
      </w:r>
      <w:r w:rsidRPr="004E74E3">
        <w:rPr>
          <w:i/>
          <w:sz w:val="24"/>
          <w:lang w:val="it-IT"/>
        </w:rPr>
        <w:t>di</w:t>
      </w:r>
      <w:r w:rsidRPr="004E74E3">
        <w:rPr>
          <w:i/>
          <w:spacing w:val="-6"/>
          <w:sz w:val="24"/>
          <w:lang w:val="it-IT"/>
        </w:rPr>
        <w:t xml:space="preserve"> </w:t>
      </w:r>
      <w:r w:rsidRPr="004E74E3">
        <w:rPr>
          <w:i/>
          <w:sz w:val="24"/>
          <w:lang w:val="it-IT"/>
        </w:rPr>
        <w:t>mia/ nostra</w:t>
      </w:r>
      <w:r w:rsidRPr="004E74E3">
        <w:rPr>
          <w:i/>
          <w:spacing w:val="-1"/>
          <w:sz w:val="24"/>
          <w:lang w:val="it-IT"/>
        </w:rPr>
        <w:t xml:space="preserve"> </w:t>
      </w:r>
      <w:r w:rsidRPr="004E74E3">
        <w:rPr>
          <w:i/>
          <w:sz w:val="24"/>
          <w:lang w:val="it-IT"/>
        </w:rPr>
        <w:t>richiesta"</w:t>
      </w:r>
      <w:r w:rsidRPr="004E74E3">
        <w:rPr>
          <w:sz w:val="24"/>
          <w:lang w:val="it-IT"/>
        </w:rPr>
        <w:t>”;</w:t>
      </w:r>
    </w:p>
    <w:p w:rsidR="002751E6" w:rsidRPr="004E74E3" w:rsidRDefault="003D7D83">
      <w:pPr>
        <w:pStyle w:val="Paragrafoelenco"/>
        <w:numPr>
          <w:ilvl w:val="0"/>
          <w:numId w:val="2"/>
        </w:numPr>
        <w:tabs>
          <w:tab w:val="left" w:pos="1988"/>
        </w:tabs>
        <w:spacing w:line="288" w:lineRule="exact"/>
        <w:ind w:hanging="285"/>
        <w:rPr>
          <w:rFonts w:ascii="Symbol" w:hAnsi="Symbol"/>
          <w:sz w:val="25"/>
          <w:lang w:val="it-IT"/>
        </w:rPr>
      </w:pPr>
      <w:r w:rsidRPr="004E74E3">
        <w:rPr>
          <w:sz w:val="24"/>
          <w:lang w:val="it-IT"/>
        </w:rPr>
        <w:t>per</w:t>
      </w:r>
      <w:r w:rsidRPr="004E74E3">
        <w:rPr>
          <w:spacing w:val="19"/>
          <w:sz w:val="24"/>
          <w:lang w:val="it-IT"/>
        </w:rPr>
        <w:t xml:space="preserve"> </w:t>
      </w:r>
      <w:r w:rsidRPr="004E74E3">
        <w:rPr>
          <w:sz w:val="24"/>
          <w:lang w:val="it-IT"/>
        </w:rPr>
        <w:t>quanto</w:t>
      </w:r>
      <w:r w:rsidRPr="004E74E3">
        <w:rPr>
          <w:spacing w:val="21"/>
          <w:sz w:val="24"/>
          <w:lang w:val="it-IT"/>
        </w:rPr>
        <w:t xml:space="preserve"> </w:t>
      </w:r>
      <w:r w:rsidRPr="004E74E3">
        <w:rPr>
          <w:sz w:val="24"/>
          <w:lang w:val="it-IT"/>
        </w:rPr>
        <w:t>rigu</w:t>
      </w:r>
      <w:r w:rsidRPr="004E74E3">
        <w:rPr>
          <w:sz w:val="24"/>
          <w:lang w:val="it-IT"/>
        </w:rPr>
        <w:t>arda</w:t>
      </w:r>
      <w:r w:rsidRPr="004E74E3">
        <w:rPr>
          <w:spacing w:val="19"/>
          <w:sz w:val="24"/>
          <w:lang w:val="it-IT"/>
        </w:rPr>
        <w:t xml:space="preserve"> </w:t>
      </w:r>
      <w:r w:rsidRPr="004E74E3">
        <w:rPr>
          <w:sz w:val="24"/>
          <w:lang w:val="it-IT"/>
        </w:rPr>
        <w:t>la</w:t>
      </w:r>
      <w:r w:rsidRPr="004E74E3">
        <w:rPr>
          <w:spacing w:val="20"/>
          <w:sz w:val="24"/>
          <w:lang w:val="it-IT"/>
        </w:rPr>
        <w:t xml:space="preserve"> </w:t>
      </w:r>
      <w:r w:rsidRPr="004E74E3">
        <w:rPr>
          <w:sz w:val="24"/>
          <w:lang w:val="it-IT"/>
        </w:rPr>
        <w:t>mancata</w:t>
      </w:r>
      <w:r w:rsidRPr="004E74E3">
        <w:rPr>
          <w:spacing w:val="21"/>
          <w:sz w:val="24"/>
          <w:lang w:val="it-IT"/>
        </w:rPr>
        <w:t xml:space="preserve"> </w:t>
      </w:r>
      <w:r w:rsidRPr="004E74E3">
        <w:rPr>
          <w:sz w:val="24"/>
          <w:lang w:val="it-IT"/>
        </w:rPr>
        <w:t>indicazione</w:t>
      </w:r>
      <w:r w:rsidRPr="004E74E3">
        <w:rPr>
          <w:spacing w:val="21"/>
          <w:sz w:val="24"/>
          <w:lang w:val="it-IT"/>
        </w:rPr>
        <w:t xml:space="preserve"> </w:t>
      </w:r>
      <w:r w:rsidRPr="004E74E3">
        <w:rPr>
          <w:sz w:val="24"/>
          <w:lang w:val="it-IT"/>
        </w:rPr>
        <w:t>della</w:t>
      </w:r>
      <w:r w:rsidRPr="004E74E3">
        <w:rPr>
          <w:spacing w:val="21"/>
          <w:sz w:val="24"/>
          <w:lang w:val="it-IT"/>
        </w:rPr>
        <w:t xml:space="preserve"> </w:t>
      </w:r>
      <w:r w:rsidRPr="004E74E3">
        <w:rPr>
          <w:sz w:val="24"/>
          <w:lang w:val="it-IT"/>
        </w:rPr>
        <w:t>dicitura</w:t>
      </w:r>
      <w:r w:rsidRPr="004E74E3">
        <w:rPr>
          <w:spacing w:val="20"/>
          <w:sz w:val="24"/>
          <w:lang w:val="it-IT"/>
        </w:rPr>
        <w:t xml:space="preserve"> </w:t>
      </w:r>
      <w:r w:rsidRPr="004E74E3">
        <w:rPr>
          <w:sz w:val="24"/>
          <w:lang w:val="it-IT"/>
        </w:rPr>
        <w:t>SUB</w:t>
      </w:r>
      <w:r w:rsidRPr="004E74E3">
        <w:rPr>
          <w:spacing w:val="19"/>
          <w:sz w:val="24"/>
          <w:lang w:val="it-IT"/>
        </w:rPr>
        <w:t xml:space="preserve"> </w:t>
      </w:r>
      <w:r w:rsidRPr="004E74E3">
        <w:rPr>
          <w:sz w:val="24"/>
          <w:lang w:val="it-IT"/>
        </w:rPr>
        <w:t>sul</w:t>
      </w:r>
      <w:r w:rsidRPr="004E74E3">
        <w:rPr>
          <w:spacing w:val="21"/>
          <w:sz w:val="24"/>
          <w:lang w:val="it-IT"/>
        </w:rPr>
        <w:t xml:space="preserve"> </w:t>
      </w:r>
      <w:r w:rsidRPr="004E74E3">
        <w:rPr>
          <w:sz w:val="24"/>
          <w:lang w:val="it-IT"/>
        </w:rPr>
        <w:t>modulo</w:t>
      </w:r>
    </w:p>
    <w:p w:rsidR="002751E6" w:rsidRPr="004E74E3" w:rsidRDefault="003D7D83">
      <w:pPr>
        <w:spacing w:before="117"/>
        <w:ind w:left="1988"/>
        <w:jc w:val="both"/>
        <w:rPr>
          <w:sz w:val="24"/>
          <w:lang w:val="it-IT"/>
        </w:rPr>
      </w:pPr>
      <w:r w:rsidRPr="004E74E3">
        <w:rPr>
          <w:sz w:val="24"/>
          <w:lang w:val="it-IT"/>
        </w:rPr>
        <w:t>d’ordine, “</w:t>
      </w:r>
      <w:r w:rsidRPr="004E74E3">
        <w:rPr>
          <w:i/>
          <w:sz w:val="24"/>
          <w:lang w:val="it-IT"/>
        </w:rPr>
        <w:t>la Banca si è attenuta alle normative all'epoca in vigore</w:t>
      </w:r>
      <w:r w:rsidRPr="004E74E3">
        <w:rPr>
          <w:sz w:val="24"/>
          <w:lang w:val="it-IT"/>
        </w:rPr>
        <w:t>”;</w:t>
      </w:r>
    </w:p>
    <w:p w:rsidR="002751E6" w:rsidRPr="004E74E3" w:rsidRDefault="003D7D83">
      <w:pPr>
        <w:pStyle w:val="Paragrafoelenco"/>
        <w:numPr>
          <w:ilvl w:val="0"/>
          <w:numId w:val="2"/>
        </w:numPr>
        <w:tabs>
          <w:tab w:val="left" w:pos="1988"/>
        </w:tabs>
        <w:spacing w:before="101" w:line="340" w:lineRule="auto"/>
        <w:ind w:right="297"/>
        <w:rPr>
          <w:rFonts w:ascii="Symbol" w:hAnsi="Symbol"/>
          <w:sz w:val="24"/>
          <w:lang w:val="it-IT"/>
        </w:rPr>
      </w:pPr>
      <w:r w:rsidRPr="004E74E3">
        <w:rPr>
          <w:sz w:val="24"/>
          <w:lang w:val="it-IT"/>
        </w:rPr>
        <w:t xml:space="preserve">con riferimento invece alle caratteristiche del prodotto, il cliente è stato informato circa tale aspetto essendo riportato nell’ordine di acquisto e nei successivi rendiconti titoli la classe sintetica di rischio del prodotto acquistato, pari ad </w:t>
      </w:r>
      <w:r w:rsidRPr="004E74E3">
        <w:rPr>
          <w:spacing w:val="-4"/>
          <w:sz w:val="24"/>
          <w:lang w:val="it-IT"/>
        </w:rPr>
        <w:t>“</w:t>
      </w:r>
      <w:r w:rsidRPr="004E74E3">
        <w:rPr>
          <w:i/>
          <w:spacing w:val="-4"/>
          <w:sz w:val="24"/>
          <w:lang w:val="it-IT"/>
        </w:rPr>
        <w:t>ELEVATO</w:t>
      </w:r>
      <w:r w:rsidRPr="004E74E3">
        <w:rPr>
          <w:spacing w:val="-4"/>
          <w:sz w:val="24"/>
          <w:lang w:val="it-IT"/>
        </w:rPr>
        <w:t>”</w:t>
      </w:r>
      <w:r w:rsidRPr="004E74E3">
        <w:rPr>
          <w:spacing w:val="-4"/>
          <w:sz w:val="24"/>
          <w:lang w:val="it-IT"/>
        </w:rPr>
        <w:t>;</w:t>
      </w:r>
    </w:p>
    <w:p w:rsidR="002751E6" w:rsidRPr="004E74E3" w:rsidRDefault="003D7D83">
      <w:pPr>
        <w:pStyle w:val="Paragrafoelenco"/>
        <w:numPr>
          <w:ilvl w:val="0"/>
          <w:numId w:val="2"/>
        </w:numPr>
        <w:tabs>
          <w:tab w:val="left" w:pos="1988"/>
        </w:tabs>
        <w:spacing w:line="340" w:lineRule="auto"/>
        <w:ind w:right="298"/>
        <w:rPr>
          <w:rFonts w:ascii="Symbol" w:hAnsi="Symbol"/>
          <w:sz w:val="24"/>
          <w:lang w:val="it-IT"/>
        </w:rPr>
      </w:pPr>
      <w:r w:rsidRPr="004E74E3">
        <w:rPr>
          <w:sz w:val="24"/>
          <w:lang w:val="it-IT"/>
        </w:rPr>
        <w:t>inoltre, l’investimento posto in essere risulta adeguato e appropriato rispetto al profilo del cliente in quanto, dalla consultazione degli estratti conto del deposito titoli, “</w:t>
      </w:r>
      <w:r w:rsidRPr="004E74E3">
        <w:rPr>
          <w:i/>
          <w:sz w:val="24"/>
          <w:lang w:val="it-IT"/>
        </w:rPr>
        <w:t>si può facilmente verificare la presenza di strumenti finanziari con grado di</w:t>
      </w:r>
      <w:r w:rsidRPr="004E74E3">
        <w:rPr>
          <w:i/>
          <w:sz w:val="24"/>
          <w:lang w:val="it-IT"/>
        </w:rPr>
        <w:t xml:space="preserve"> rischio simile a quello dell'obbligazione oggetto del presente</w:t>
      </w:r>
      <w:r w:rsidRPr="004E74E3">
        <w:rPr>
          <w:i/>
          <w:spacing w:val="-11"/>
          <w:sz w:val="24"/>
          <w:lang w:val="it-IT"/>
        </w:rPr>
        <w:t xml:space="preserve"> </w:t>
      </w:r>
      <w:r w:rsidRPr="004E74E3">
        <w:rPr>
          <w:i/>
          <w:sz w:val="24"/>
          <w:lang w:val="it-IT"/>
        </w:rPr>
        <w:t>ricorso</w:t>
      </w:r>
      <w:r w:rsidRPr="004E74E3">
        <w:rPr>
          <w:sz w:val="24"/>
          <w:lang w:val="it-IT"/>
        </w:rPr>
        <w:t>”;</w:t>
      </w:r>
    </w:p>
    <w:p w:rsidR="002751E6" w:rsidRPr="004E74E3" w:rsidRDefault="003D7D83">
      <w:pPr>
        <w:pStyle w:val="Paragrafoelenco"/>
        <w:numPr>
          <w:ilvl w:val="0"/>
          <w:numId w:val="2"/>
        </w:numPr>
        <w:tabs>
          <w:tab w:val="left" w:pos="1988"/>
        </w:tabs>
        <w:spacing w:line="340" w:lineRule="auto"/>
        <w:ind w:right="322"/>
        <w:rPr>
          <w:rFonts w:ascii="Symbol" w:hAnsi="Symbol"/>
          <w:sz w:val="24"/>
          <w:lang w:val="it-IT"/>
        </w:rPr>
      </w:pPr>
      <w:r w:rsidRPr="004E74E3">
        <w:rPr>
          <w:sz w:val="24"/>
          <w:lang w:val="it-IT"/>
        </w:rPr>
        <w:t>alla luce di tutto ciò, “</w:t>
      </w:r>
      <w:r w:rsidRPr="004E74E3">
        <w:rPr>
          <w:i/>
          <w:sz w:val="24"/>
          <w:lang w:val="it-IT"/>
        </w:rPr>
        <w:t xml:space="preserve">non è credibile che un dipendente della Banca - Quadro </w:t>
      </w:r>
      <w:r w:rsidRPr="004E74E3">
        <w:rPr>
          <w:i/>
          <w:sz w:val="24"/>
          <w:lang w:val="it-IT"/>
        </w:rPr>
        <w:t>Direttivo con conoscenze finanziarie superiori alla media - non fosse consapevole e/o non si fosse premurato di verificare le caratteristiche dell'investimento effettuato</w:t>
      </w:r>
      <w:r w:rsidRPr="004E74E3">
        <w:rPr>
          <w:sz w:val="24"/>
          <w:lang w:val="it-IT"/>
        </w:rPr>
        <w:t>”.</w:t>
      </w:r>
    </w:p>
    <w:p w:rsidR="002751E6" w:rsidRPr="004E74E3" w:rsidRDefault="003D7D83">
      <w:pPr>
        <w:spacing w:line="343" w:lineRule="auto"/>
        <w:ind w:left="1988" w:right="320"/>
        <w:jc w:val="both"/>
        <w:rPr>
          <w:sz w:val="24"/>
          <w:lang w:val="it-IT"/>
        </w:rPr>
      </w:pPr>
      <w:r w:rsidRPr="004E74E3">
        <w:rPr>
          <w:sz w:val="24"/>
          <w:lang w:val="it-IT"/>
        </w:rPr>
        <w:t>Alla luce di quanto esposto, l’Intermediario chiede “</w:t>
      </w:r>
      <w:r w:rsidRPr="004E74E3">
        <w:rPr>
          <w:i/>
          <w:sz w:val="24"/>
          <w:lang w:val="it-IT"/>
        </w:rPr>
        <w:t>di dichiarare il ricorso irric</w:t>
      </w:r>
      <w:r w:rsidRPr="004E74E3">
        <w:rPr>
          <w:i/>
          <w:sz w:val="24"/>
          <w:lang w:val="it-IT"/>
        </w:rPr>
        <w:t>evibile/inammissibile oppure, in subordine, di respingere integralmente le istanze del ricorrente perché infondate</w:t>
      </w:r>
      <w:r w:rsidRPr="004E74E3">
        <w:rPr>
          <w:sz w:val="24"/>
          <w:lang w:val="it-IT"/>
        </w:rPr>
        <w:t>”.</w:t>
      </w:r>
    </w:p>
    <w:p w:rsidR="002751E6" w:rsidRPr="004E74E3" w:rsidRDefault="002751E6">
      <w:pPr>
        <w:pStyle w:val="Corpotesto"/>
        <w:spacing w:before="5"/>
        <w:rPr>
          <w:sz w:val="32"/>
          <w:lang w:val="it-IT"/>
        </w:rPr>
      </w:pPr>
    </w:p>
    <w:p w:rsidR="002751E6" w:rsidRPr="004E74E3" w:rsidRDefault="003D7D83">
      <w:pPr>
        <w:pStyle w:val="Paragrafoelenco"/>
        <w:numPr>
          <w:ilvl w:val="0"/>
          <w:numId w:val="4"/>
        </w:numPr>
        <w:tabs>
          <w:tab w:val="left" w:pos="1988"/>
        </w:tabs>
        <w:spacing w:before="1"/>
        <w:jc w:val="both"/>
        <w:rPr>
          <w:sz w:val="24"/>
          <w:lang w:val="it-IT"/>
        </w:rPr>
      </w:pPr>
      <w:r w:rsidRPr="004E74E3">
        <w:rPr>
          <w:sz w:val="24"/>
          <w:lang w:val="it-IT"/>
        </w:rPr>
        <w:t>Nelle deduzioni integrative Parte ricorrente rappresenta</w:t>
      </w:r>
      <w:r w:rsidRPr="004E74E3">
        <w:rPr>
          <w:spacing w:val="1"/>
          <w:sz w:val="24"/>
          <w:lang w:val="it-IT"/>
        </w:rPr>
        <w:t xml:space="preserve"> </w:t>
      </w:r>
      <w:r w:rsidRPr="004E74E3">
        <w:rPr>
          <w:sz w:val="24"/>
          <w:lang w:val="it-IT"/>
        </w:rPr>
        <w:t>che:</w:t>
      </w:r>
    </w:p>
    <w:p w:rsidR="002751E6" w:rsidRPr="004E74E3" w:rsidRDefault="003D7D83">
      <w:pPr>
        <w:pStyle w:val="Paragrafoelenco"/>
        <w:numPr>
          <w:ilvl w:val="0"/>
          <w:numId w:val="2"/>
        </w:numPr>
        <w:tabs>
          <w:tab w:val="left" w:pos="1988"/>
        </w:tabs>
        <w:spacing w:before="102"/>
        <w:rPr>
          <w:rFonts w:ascii="Symbol" w:hAnsi="Symbol"/>
          <w:sz w:val="24"/>
          <w:lang w:val="it-IT"/>
        </w:rPr>
      </w:pPr>
      <w:r w:rsidRPr="004E74E3">
        <w:rPr>
          <w:sz w:val="24"/>
          <w:lang w:val="it-IT"/>
        </w:rPr>
        <w:t>la Banca non ha prodotto alcun contratto quadro, né alcun questionario</w:t>
      </w:r>
      <w:r w:rsidRPr="004E74E3">
        <w:rPr>
          <w:spacing w:val="-9"/>
          <w:sz w:val="24"/>
          <w:lang w:val="it-IT"/>
        </w:rPr>
        <w:t xml:space="preserve"> </w:t>
      </w:r>
      <w:r w:rsidRPr="004E74E3">
        <w:rPr>
          <w:sz w:val="24"/>
          <w:lang w:val="it-IT"/>
        </w:rPr>
        <w:t>Mifid</w:t>
      </w:r>
      <w:r w:rsidRPr="004E74E3">
        <w:rPr>
          <w:sz w:val="24"/>
          <w:lang w:val="it-IT"/>
        </w:rPr>
        <w:t>;</w:t>
      </w:r>
    </w:p>
    <w:p w:rsidR="002751E6" w:rsidRPr="004E74E3" w:rsidRDefault="003D7D83">
      <w:pPr>
        <w:pStyle w:val="Paragrafoelenco"/>
        <w:numPr>
          <w:ilvl w:val="0"/>
          <w:numId w:val="2"/>
        </w:numPr>
        <w:tabs>
          <w:tab w:val="left" w:pos="1988"/>
        </w:tabs>
        <w:spacing w:before="100" w:line="340" w:lineRule="auto"/>
        <w:ind w:right="295"/>
        <w:rPr>
          <w:rFonts w:ascii="Symbol" w:hAnsi="Symbol"/>
          <w:i/>
          <w:sz w:val="24"/>
          <w:lang w:val="it-IT"/>
        </w:rPr>
      </w:pPr>
      <w:r w:rsidRPr="004E74E3">
        <w:rPr>
          <w:sz w:val="24"/>
          <w:lang w:val="it-IT"/>
        </w:rPr>
        <w:t>l’Intermediario “</w:t>
      </w:r>
      <w:r w:rsidRPr="004E74E3">
        <w:rPr>
          <w:i/>
          <w:sz w:val="24"/>
          <w:lang w:val="it-IT"/>
        </w:rPr>
        <w:t xml:space="preserve">non ha provato alcuna particolare conoscenza finanziaria </w:t>
      </w:r>
      <w:r w:rsidRPr="004E74E3">
        <w:rPr>
          <w:sz w:val="24"/>
          <w:lang w:val="it-IT"/>
        </w:rPr>
        <w:t xml:space="preserve">[di Parte ricorrente] </w:t>
      </w:r>
      <w:r w:rsidRPr="004E74E3">
        <w:rPr>
          <w:i/>
          <w:sz w:val="24"/>
          <w:lang w:val="it-IT"/>
        </w:rPr>
        <w:t xml:space="preserve">per avere lavorato molti anni in Banca; il documento n. 2 nulla </w:t>
      </w:r>
      <w:r w:rsidRPr="004E74E3">
        <w:rPr>
          <w:i/>
          <w:spacing w:val="-3"/>
          <w:sz w:val="24"/>
          <w:lang w:val="it-IT"/>
        </w:rPr>
        <w:t>prova</w:t>
      </w:r>
      <w:r w:rsidRPr="004E74E3">
        <w:rPr>
          <w:i/>
          <w:spacing w:val="6"/>
          <w:sz w:val="24"/>
          <w:lang w:val="it-IT"/>
        </w:rPr>
        <w:t xml:space="preserve"> </w:t>
      </w:r>
      <w:r w:rsidRPr="004E74E3">
        <w:rPr>
          <w:i/>
          <w:sz w:val="24"/>
          <w:lang w:val="it-IT"/>
        </w:rPr>
        <w:t>a</w:t>
      </w:r>
      <w:r w:rsidRPr="004E74E3">
        <w:rPr>
          <w:i/>
          <w:spacing w:val="6"/>
          <w:sz w:val="24"/>
          <w:lang w:val="it-IT"/>
        </w:rPr>
        <w:t xml:space="preserve"> </w:t>
      </w:r>
      <w:r w:rsidRPr="004E74E3">
        <w:rPr>
          <w:i/>
          <w:sz w:val="24"/>
          <w:lang w:val="it-IT"/>
        </w:rPr>
        <w:t>tale</w:t>
      </w:r>
      <w:r w:rsidRPr="004E74E3">
        <w:rPr>
          <w:i/>
          <w:spacing w:val="6"/>
          <w:sz w:val="24"/>
          <w:lang w:val="it-IT"/>
        </w:rPr>
        <w:t xml:space="preserve"> </w:t>
      </w:r>
      <w:r w:rsidRPr="004E74E3">
        <w:rPr>
          <w:i/>
          <w:sz w:val="24"/>
          <w:lang w:val="it-IT"/>
        </w:rPr>
        <w:t>proposito</w:t>
      </w:r>
      <w:r w:rsidRPr="004E74E3">
        <w:rPr>
          <w:i/>
          <w:spacing w:val="8"/>
          <w:sz w:val="24"/>
          <w:lang w:val="it-IT"/>
        </w:rPr>
        <w:t xml:space="preserve"> </w:t>
      </w:r>
      <w:r w:rsidRPr="004E74E3">
        <w:rPr>
          <w:i/>
          <w:sz w:val="24"/>
          <w:lang w:val="it-IT"/>
        </w:rPr>
        <w:t>né</w:t>
      </w:r>
      <w:r w:rsidRPr="004E74E3">
        <w:rPr>
          <w:i/>
          <w:spacing w:val="6"/>
          <w:sz w:val="24"/>
          <w:lang w:val="it-IT"/>
        </w:rPr>
        <w:t xml:space="preserve"> </w:t>
      </w:r>
      <w:r w:rsidRPr="004E74E3">
        <w:rPr>
          <w:i/>
          <w:spacing w:val="-3"/>
          <w:sz w:val="24"/>
          <w:lang w:val="it-IT"/>
        </w:rPr>
        <w:t>prova</w:t>
      </w:r>
      <w:r w:rsidRPr="004E74E3">
        <w:rPr>
          <w:i/>
          <w:spacing w:val="6"/>
          <w:sz w:val="24"/>
          <w:lang w:val="it-IT"/>
        </w:rPr>
        <w:t xml:space="preserve"> </w:t>
      </w:r>
      <w:r w:rsidRPr="004E74E3">
        <w:rPr>
          <w:i/>
          <w:sz w:val="24"/>
          <w:lang w:val="it-IT"/>
        </w:rPr>
        <w:t>che</w:t>
      </w:r>
      <w:r w:rsidRPr="004E74E3">
        <w:rPr>
          <w:i/>
          <w:spacing w:val="9"/>
          <w:sz w:val="24"/>
          <w:lang w:val="it-IT"/>
        </w:rPr>
        <w:t xml:space="preserve"> </w:t>
      </w:r>
      <w:r w:rsidRPr="004E74E3">
        <w:rPr>
          <w:sz w:val="24"/>
          <w:lang w:val="it-IT"/>
        </w:rPr>
        <w:t>[Parte</w:t>
      </w:r>
      <w:r w:rsidRPr="004E74E3">
        <w:rPr>
          <w:spacing w:val="8"/>
          <w:sz w:val="24"/>
          <w:lang w:val="it-IT"/>
        </w:rPr>
        <w:t xml:space="preserve"> </w:t>
      </w:r>
      <w:r w:rsidRPr="004E74E3">
        <w:rPr>
          <w:sz w:val="24"/>
          <w:lang w:val="it-IT"/>
        </w:rPr>
        <w:t>ricorrente]</w:t>
      </w:r>
      <w:r w:rsidRPr="004E74E3">
        <w:rPr>
          <w:spacing w:val="7"/>
          <w:sz w:val="24"/>
          <w:lang w:val="it-IT"/>
        </w:rPr>
        <w:t xml:space="preserve"> </w:t>
      </w:r>
      <w:r w:rsidRPr="004E74E3">
        <w:rPr>
          <w:i/>
          <w:sz w:val="24"/>
          <w:lang w:val="it-IT"/>
        </w:rPr>
        <w:t>si</w:t>
      </w:r>
      <w:r w:rsidRPr="004E74E3">
        <w:rPr>
          <w:i/>
          <w:spacing w:val="6"/>
          <w:sz w:val="24"/>
          <w:lang w:val="it-IT"/>
        </w:rPr>
        <w:t xml:space="preserve"> </w:t>
      </w:r>
      <w:r w:rsidRPr="004E74E3">
        <w:rPr>
          <w:i/>
          <w:sz w:val="24"/>
          <w:lang w:val="it-IT"/>
        </w:rPr>
        <w:t>sia</w:t>
      </w:r>
      <w:r w:rsidRPr="004E74E3">
        <w:rPr>
          <w:i/>
          <w:spacing w:val="6"/>
          <w:sz w:val="24"/>
          <w:lang w:val="it-IT"/>
        </w:rPr>
        <w:t xml:space="preserve"> </w:t>
      </w:r>
      <w:r w:rsidRPr="004E74E3">
        <w:rPr>
          <w:i/>
          <w:sz w:val="24"/>
          <w:lang w:val="it-IT"/>
        </w:rPr>
        <w:t>mai</w:t>
      </w:r>
      <w:r w:rsidRPr="004E74E3">
        <w:rPr>
          <w:i/>
          <w:spacing w:val="6"/>
          <w:sz w:val="24"/>
          <w:lang w:val="it-IT"/>
        </w:rPr>
        <w:t xml:space="preserve"> </w:t>
      </w:r>
      <w:r w:rsidRPr="004E74E3">
        <w:rPr>
          <w:i/>
          <w:sz w:val="24"/>
          <w:lang w:val="it-IT"/>
        </w:rPr>
        <w:t>occupato</w:t>
      </w:r>
      <w:r w:rsidRPr="004E74E3">
        <w:rPr>
          <w:i/>
          <w:spacing w:val="6"/>
          <w:sz w:val="24"/>
          <w:lang w:val="it-IT"/>
        </w:rPr>
        <w:t xml:space="preserve"> </w:t>
      </w:r>
      <w:r w:rsidRPr="004E74E3">
        <w:rPr>
          <w:i/>
          <w:sz w:val="24"/>
          <w:lang w:val="it-IT"/>
        </w:rPr>
        <w:t>di</w:t>
      </w:r>
      <w:r w:rsidRPr="004E74E3">
        <w:rPr>
          <w:i/>
          <w:spacing w:val="6"/>
          <w:sz w:val="24"/>
          <w:lang w:val="it-IT"/>
        </w:rPr>
        <w:t xml:space="preserve"> </w:t>
      </w:r>
      <w:r w:rsidRPr="004E74E3">
        <w:rPr>
          <w:i/>
          <w:sz w:val="24"/>
          <w:lang w:val="it-IT"/>
        </w:rPr>
        <w:t>titoli</w:t>
      </w:r>
    </w:p>
    <w:p w:rsidR="002751E6" w:rsidRPr="004E74E3" w:rsidRDefault="002751E6">
      <w:pPr>
        <w:spacing w:line="340" w:lineRule="auto"/>
        <w:jc w:val="both"/>
        <w:rPr>
          <w:rFonts w:ascii="Symbol" w:hAnsi="Symbol"/>
          <w:sz w:val="24"/>
          <w:lang w:val="it-IT"/>
        </w:rPr>
        <w:sectPr w:rsidR="002751E6" w:rsidRPr="004E74E3">
          <w:pgSz w:w="11900" w:h="16840"/>
          <w:pgMar w:top="1600" w:right="1680" w:bottom="1180" w:left="0" w:header="0" w:footer="999" w:gutter="0"/>
          <w:cols w:space="720"/>
        </w:sectPr>
      </w:pPr>
    </w:p>
    <w:p w:rsidR="002751E6" w:rsidRPr="004E74E3" w:rsidRDefault="002751E6">
      <w:pPr>
        <w:pStyle w:val="Corpotesto"/>
        <w:rPr>
          <w:i/>
          <w:sz w:val="20"/>
          <w:lang w:val="it-IT"/>
        </w:rPr>
      </w:pPr>
    </w:p>
    <w:p w:rsidR="002751E6" w:rsidRPr="004E74E3" w:rsidRDefault="002751E6">
      <w:pPr>
        <w:pStyle w:val="Corpotesto"/>
        <w:rPr>
          <w:i/>
          <w:sz w:val="20"/>
          <w:lang w:val="it-IT"/>
        </w:rPr>
      </w:pPr>
    </w:p>
    <w:p w:rsidR="002751E6" w:rsidRPr="004E74E3" w:rsidRDefault="002751E6">
      <w:pPr>
        <w:pStyle w:val="Corpotesto"/>
        <w:spacing w:before="3"/>
        <w:rPr>
          <w:i/>
          <w:sz w:val="18"/>
          <w:lang w:val="it-IT"/>
        </w:rPr>
      </w:pPr>
    </w:p>
    <w:p w:rsidR="002751E6" w:rsidRPr="004E74E3" w:rsidRDefault="003D7D83">
      <w:pPr>
        <w:spacing w:before="90" w:line="343" w:lineRule="auto"/>
        <w:ind w:left="1988" w:right="319"/>
        <w:jc w:val="both"/>
        <w:rPr>
          <w:sz w:val="24"/>
          <w:lang w:val="it-IT"/>
        </w:rPr>
      </w:pPr>
      <w:r w:rsidRPr="004E74E3">
        <w:rPr>
          <w:i/>
          <w:sz w:val="24"/>
          <w:lang w:val="it-IT"/>
        </w:rPr>
        <w:t xml:space="preserve">e di titoli come quelli in oggetto (subordinate estere). Tuttavia, dal documento n. 2 emerge invece che </w:t>
      </w:r>
      <w:r w:rsidRPr="004E74E3">
        <w:rPr>
          <w:sz w:val="24"/>
          <w:lang w:val="it-IT"/>
        </w:rPr>
        <w:t xml:space="preserve">[Parte ricorrente] </w:t>
      </w:r>
      <w:r w:rsidRPr="004E74E3">
        <w:rPr>
          <w:i/>
          <w:sz w:val="24"/>
          <w:lang w:val="it-IT"/>
        </w:rPr>
        <w:t xml:space="preserve">aveva già cessato l’attività lavorativa nel 2008 </w:t>
      </w:r>
      <w:r w:rsidRPr="004E74E3">
        <w:rPr>
          <w:i/>
          <w:spacing w:val="-3"/>
          <w:sz w:val="24"/>
          <w:lang w:val="it-IT"/>
        </w:rPr>
        <w:t xml:space="preserve">ovvero circa </w:t>
      </w:r>
      <w:r w:rsidRPr="004E74E3">
        <w:rPr>
          <w:i/>
          <w:sz w:val="24"/>
          <w:lang w:val="it-IT"/>
        </w:rPr>
        <w:t>3 anni prima del “nefasto”</w:t>
      </w:r>
      <w:r w:rsidRPr="004E74E3">
        <w:rPr>
          <w:i/>
          <w:spacing w:val="6"/>
          <w:sz w:val="24"/>
          <w:lang w:val="it-IT"/>
        </w:rPr>
        <w:t xml:space="preserve"> </w:t>
      </w:r>
      <w:r w:rsidRPr="004E74E3">
        <w:rPr>
          <w:i/>
          <w:sz w:val="24"/>
          <w:lang w:val="it-IT"/>
        </w:rPr>
        <w:t>acquisto</w:t>
      </w:r>
      <w:r w:rsidRPr="004E74E3">
        <w:rPr>
          <w:sz w:val="24"/>
          <w:lang w:val="it-IT"/>
        </w:rPr>
        <w:t>”;</w:t>
      </w:r>
    </w:p>
    <w:p w:rsidR="002751E6" w:rsidRPr="004E74E3" w:rsidRDefault="003D7D83">
      <w:pPr>
        <w:pStyle w:val="Paragrafoelenco"/>
        <w:numPr>
          <w:ilvl w:val="0"/>
          <w:numId w:val="2"/>
        </w:numPr>
        <w:tabs>
          <w:tab w:val="left" w:pos="1988"/>
        </w:tabs>
        <w:spacing w:line="279" w:lineRule="exact"/>
        <w:rPr>
          <w:rFonts w:ascii="Symbol" w:hAnsi="Symbol"/>
          <w:sz w:val="24"/>
          <w:lang w:val="it-IT"/>
        </w:rPr>
      </w:pPr>
      <w:r w:rsidRPr="004E74E3">
        <w:rPr>
          <w:sz w:val="24"/>
          <w:lang w:val="it-IT"/>
        </w:rPr>
        <w:t>quanto all’</w:t>
      </w:r>
      <w:r w:rsidRPr="004E74E3">
        <w:rPr>
          <w:sz w:val="24"/>
          <w:lang w:val="it-IT"/>
        </w:rPr>
        <w:t>inadeguatezza/inappropriatezza dell’investimento, Parte</w:t>
      </w:r>
      <w:r w:rsidRPr="004E74E3">
        <w:rPr>
          <w:spacing w:val="33"/>
          <w:sz w:val="24"/>
          <w:lang w:val="it-IT"/>
        </w:rPr>
        <w:t xml:space="preserve"> </w:t>
      </w:r>
      <w:r w:rsidRPr="004E74E3">
        <w:rPr>
          <w:sz w:val="24"/>
          <w:lang w:val="it-IT"/>
        </w:rPr>
        <w:t>ricorrente</w:t>
      </w:r>
    </w:p>
    <w:p w:rsidR="002751E6" w:rsidRPr="004E74E3" w:rsidRDefault="003D7D83">
      <w:pPr>
        <w:spacing w:before="117" w:line="343" w:lineRule="auto"/>
        <w:ind w:left="1988" w:right="320"/>
        <w:jc w:val="both"/>
        <w:rPr>
          <w:sz w:val="24"/>
          <w:lang w:val="it-IT"/>
        </w:rPr>
      </w:pPr>
      <w:r w:rsidRPr="004E74E3">
        <w:rPr>
          <w:sz w:val="24"/>
          <w:lang w:val="it-IT"/>
        </w:rPr>
        <w:t>aveva nel portafoglio “</w:t>
      </w:r>
      <w:r w:rsidRPr="004E74E3">
        <w:rPr>
          <w:i/>
          <w:sz w:val="24"/>
          <w:lang w:val="it-IT"/>
        </w:rPr>
        <w:t>principalmente fondi ETF per loro natura diametralmente diversi e distinti dalle subordinate bancarie estere emesse esclusivamente per la clientela istituzionale</w:t>
      </w:r>
      <w:r w:rsidRPr="004E74E3">
        <w:rPr>
          <w:sz w:val="24"/>
          <w:lang w:val="it-IT"/>
        </w:rPr>
        <w:t>”.</w:t>
      </w:r>
    </w:p>
    <w:p w:rsidR="002751E6" w:rsidRPr="004E74E3" w:rsidRDefault="002751E6">
      <w:pPr>
        <w:pStyle w:val="Corpotesto"/>
        <w:spacing w:before="5"/>
        <w:rPr>
          <w:sz w:val="34"/>
          <w:lang w:val="it-IT"/>
        </w:rPr>
      </w:pPr>
    </w:p>
    <w:p w:rsidR="002751E6" w:rsidRDefault="003D7D83">
      <w:pPr>
        <w:pStyle w:val="Paragrafoelenco"/>
        <w:numPr>
          <w:ilvl w:val="0"/>
          <w:numId w:val="4"/>
        </w:numPr>
        <w:tabs>
          <w:tab w:val="left" w:pos="1988"/>
        </w:tabs>
        <w:jc w:val="both"/>
        <w:rPr>
          <w:sz w:val="24"/>
        </w:rPr>
      </w:pPr>
      <w:r>
        <w:rPr>
          <w:sz w:val="24"/>
        </w:rPr>
        <w:t>L’Intermediario replica che:</w:t>
      </w:r>
    </w:p>
    <w:p w:rsidR="002751E6" w:rsidRPr="004E74E3" w:rsidRDefault="003D7D83">
      <w:pPr>
        <w:pStyle w:val="Paragrafoelenco"/>
        <w:numPr>
          <w:ilvl w:val="0"/>
          <w:numId w:val="1"/>
        </w:numPr>
        <w:tabs>
          <w:tab w:val="left" w:pos="1988"/>
        </w:tabs>
        <w:spacing w:before="103" w:line="340" w:lineRule="auto"/>
        <w:ind w:right="320"/>
        <w:rPr>
          <w:sz w:val="24"/>
          <w:lang w:val="it-IT"/>
        </w:rPr>
      </w:pPr>
      <w:r w:rsidRPr="004E74E3">
        <w:rPr>
          <w:sz w:val="24"/>
          <w:lang w:val="it-IT"/>
        </w:rPr>
        <w:t>“</w:t>
      </w:r>
      <w:r w:rsidRPr="004E74E3">
        <w:rPr>
          <w:i/>
          <w:sz w:val="24"/>
          <w:lang w:val="it-IT"/>
        </w:rPr>
        <w:t xml:space="preserve">l’obiezione </w:t>
      </w:r>
      <w:r w:rsidRPr="004E74E3">
        <w:rPr>
          <w:i/>
          <w:spacing w:val="-3"/>
          <w:sz w:val="24"/>
          <w:lang w:val="it-IT"/>
        </w:rPr>
        <w:t xml:space="preserve">circa </w:t>
      </w:r>
      <w:r w:rsidRPr="004E74E3">
        <w:rPr>
          <w:i/>
          <w:sz w:val="24"/>
          <w:lang w:val="it-IT"/>
        </w:rPr>
        <w:t>la mancata produzione in atti del contratto quadro e del questionario MIFID sia del tutto strumentale e inconferente. Infatti, la doglianza oggetto della disputa, riguarda il singolo investimento in obbligazi</w:t>
      </w:r>
      <w:r w:rsidRPr="004E74E3">
        <w:rPr>
          <w:i/>
          <w:sz w:val="24"/>
          <w:lang w:val="it-IT"/>
        </w:rPr>
        <w:t>oni BMPS 10/20 5.6 SUB e quindi il singolo ordine di investimento, avendo il ricorrente chiesto l’annullamento di esso e la restituzione del capitale</w:t>
      </w:r>
      <w:r w:rsidRPr="004E74E3">
        <w:rPr>
          <w:i/>
          <w:spacing w:val="-9"/>
          <w:sz w:val="24"/>
          <w:lang w:val="it-IT"/>
        </w:rPr>
        <w:t xml:space="preserve"> </w:t>
      </w:r>
      <w:r w:rsidRPr="004E74E3">
        <w:rPr>
          <w:i/>
          <w:sz w:val="24"/>
          <w:lang w:val="it-IT"/>
        </w:rPr>
        <w:t>investito</w:t>
      </w:r>
      <w:r w:rsidRPr="004E74E3">
        <w:rPr>
          <w:sz w:val="24"/>
          <w:lang w:val="it-IT"/>
        </w:rPr>
        <w:t>”;</w:t>
      </w:r>
    </w:p>
    <w:p w:rsidR="002751E6" w:rsidRPr="004E74E3" w:rsidRDefault="003D7D83">
      <w:pPr>
        <w:pStyle w:val="Paragrafoelenco"/>
        <w:numPr>
          <w:ilvl w:val="0"/>
          <w:numId w:val="1"/>
        </w:numPr>
        <w:tabs>
          <w:tab w:val="left" w:pos="1988"/>
        </w:tabs>
        <w:spacing w:line="340" w:lineRule="auto"/>
        <w:ind w:right="302"/>
        <w:rPr>
          <w:sz w:val="24"/>
          <w:lang w:val="it-IT"/>
        </w:rPr>
      </w:pPr>
      <w:r w:rsidRPr="004E74E3">
        <w:rPr>
          <w:sz w:val="24"/>
          <w:lang w:val="it-IT"/>
        </w:rPr>
        <w:t>con riferimento all’asserita mancanza di conoscenza circa la natura subordinata del titolo, in</w:t>
      </w:r>
      <w:r w:rsidRPr="004E74E3">
        <w:rPr>
          <w:sz w:val="24"/>
          <w:lang w:val="it-IT"/>
        </w:rPr>
        <w:t xml:space="preserve"> data 28.06.2012 la Banca ha inviato una comunicazione ai possessori di titoli subordinati, tra cui Parte ricorrente, in cui promuoveva un’Offerta Pubblica di Scambio per offrire la sostituzione, a determinate condizioni, di titoli subordinati con strument</w:t>
      </w:r>
      <w:r w:rsidRPr="004E74E3">
        <w:rPr>
          <w:sz w:val="24"/>
          <w:lang w:val="it-IT"/>
        </w:rPr>
        <w:t>i finanziari non subordinati di nuova</w:t>
      </w:r>
      <w:r w:rsidRPr="004E74E3">
        <w:rPr>
          <w:spacing w:val="-6"/>
          <w:sz w:val="24"/>
          <w:lang w:val="it-IT"/>
        </w:rPr>
        <w:t xml:space="preserve"> </w:t>
      </w:r>
      <w:r w:rsidRPr="004E74E3">
        <w:rPr>
          <w:sz w:val="24"/>
          <w:lang w:val="it-IT"/>
        </w:rPr>
        <w:t>emissione;</w:t>
      </w:r>
    </w:p>
    <w:p w:rsidR="002751E6" w:rsidRPr="004E74E3" w:rsidRDefault="003D7D83">
      <w:pPr>
        <w:pStyle w:val="Paragrafoelenco"/>
        <w:numPr>
          <w:ilvl w:val="0"/>
          <w:numId w:val="1"/>
        </w:numPr>
        <w:tabs>
          <w:tab w:val="left" w:pos="1988"/>
        </w:tabs>
        <w:spacing w:line="340" w:lineRule="auto"/>
        <w:ind w:right="308"/>
        <w:rPr>
          <w:sz w:val="24"/>
          <w:lang w:val="it-IT"/>
        </w:rPr>
      </w:pPr>
      <w:r w:rsidRPr="004E74E3">
        <w:rPr>
          <w:sz w:val="24"/>
          <w:lang w:val="it-IT"/>
        </w:rPr>
        <w:t xml:space="preserve">i titoli di cui trattasi, acquistati nel giugno del </w:t>
      </w:r>
      <w:r w:rsidRPr="004E74E3">
        <w:rPr>
          <w:spacing w:val="-3"/>
          <w:sz w:val="24"/>
          <w:lang w:val="it-IT"/>
        </w:rPr>
        <w:t xml:space="preserve">2011, </w:t>
      </w:r>
      <w:r w:rsidRPr="004E74E3">
        <w:rPr>
          <w:sz w:val="24"/>
          <w:lang w:val="it-IT"/>
        </w:rPr>
        <w:t>sono stati convertiti in azioni il 02.08.2017 (All. 3 Repliche) e “</w:t>
      </w:r>
      <w:r w:rsidRPr="004E74E3">
        <w:rPr>
          <w:i/>
          <w:sz w:val="24"/>
          <w:lang w:val="it-IT"/>
        </w:rPr>
        <w:t>quest'ultime sono tutt'ora detenute dal ricorrente, dunque a distanza di quasi ott</w:t>
      </w:r>
      <w:r w:rsidRPr="004E74E3">
        <w:rPr>
          <w:i/>
          <w:sz w:val="24"/>
          <w:lang w:val="it-IT"/>
        </w:rPr>
        <w:t>o anni dall'originario</w:t>
      </w:r>
      <w:r w:rsidRPr="004E74E3">
        <w:rPr>
          <w:i/>
          <w:spacing w:val="-12"/>
          <w:sz w:val="24"/>
          <w:lang w:val="it-IT"/>
        </w:rPr>
        <w:t xml:space="preserve"> </w:t>
      </w:r>
      <w:r w:rsidRPr="004E74E3">
        <w:rPr>
          <w:i/>
          <w:sz w:val="24"/>
          <w:lang w:val="it-IT"/>
        </w:rPr>
        <w:t>acquisto</w:t>
      </w:r>
      <w:r w:rsidRPr="004E74E3">
        <w:rPr>
          <w:sz w:val="24"/>
          <w:lang w:val="it-IT"/>
        </w:rPr>
        <w:t>”;</w:t>
      </w:r>
    </w:p>
    <w:p w:rsidR="002751E6" w:rsidRPr="004E74E3" w:rsidRDefault="003D7D83">
      <w:pPr>
        <w:pStyle w:val="Paragrafoelenco"/>
        <w:numPr>
          <w:ilvl w:val="0"/>
          <w:numId w:val="1"/>
        </w:numPr>
        <w:tabs>
          <w:tab w:val="left" w:pos="1988"/>
        </w:tabs>
        <w:spacing w:line="277" w:lineRule="exact"/>
        <w:rPr>
          <w:sz w:val="24"/>
          <w:lang w:val="it-IT"/>
        </w:rPr>
      </w:pPr>
      <w:r w:rsidRPr="004E74E3">
        <w:rPr>
          <w:sz w:val="24"/>
          <w:lang w:val="it-IT"/>
        </w:rPr>
        <w:t>in</w:t>
      </w:r>
      <w:r w:rsidRPr="004E74E3">
        <w:rPr>
          <w:spacing w:val="23"/>
          <w:sz w:val="24"/>
          <w:lang w:val="it-IT"/>
        </w:rPr>
        <w:t xml:space="preserve"> </w:t>
      </w:r>
      <w:r w:rsidRPr="004E74E3">
        <w:rPr>
          <w:sz w:val="24"/>
          <w:lang w:val="it-IT"/>
        </w:rPr>
        <w:t>merito</w:t>
      </w:r>
      <w:r w:rsidRPr="004E74E3">
        <w:rPr>
          <w:spacing w:val="23"/>
          <w:sz w:val="24"/>
          <w:lang w:val="it-IT"/>
        </w:rPr>
        <w:t xml:space="preserve"> </w:t>
      </w:r>
      <w:r w:rsidRPr="004E74E3">
        <w:rPr>
          <w:sz w:val="24"/>
          <w:lang w:val="it-IT"/>
        </w:rPr>
        <w:t>alla</w:t>
      </w:r>
      <w:r w:rsidRPr="004E74E3">
        <w:rPr>
          <w:spacing w:val="24"/>
          <w:sz w:val="24"/>
          <w:lang w:val="it-IT"/>
        </w:rPr>
        <w:t xml:space="preserve"> </w:t>
      </w:r>
      <w:r w:rsidRPr="004E74E3">
        <w:rPr>
          <w:sz w:val="24"/>
          <w:lang w:val="it-IT"/>
        </w:rPr>
        <w:t>quantificazione</w:t>
      </w:r>
      <w:r w:rsidRPr="004E74E3">
        <w:rPr>
          <w:spacing w:val="23"/>
          <w:sz w:val="24"/>
          <w:lang w:val="it-IT"/>
        </w:rPr>
        <w:t xml:space="preserve"> </w:t>
      </w:r>
      <w:r w:rsidRPr="004E74E3">
        <w:rPr>
          <w:sz w:val="24"/>
          <w:lang w:val="it-IT"/>
        </w:rPr>
        <w:t>dell’asserito</w:t>
      </w:r>
      <w:r w:rsidRPr="004E74E3">
        <w:rPr>
          <w:spacing w:val="25"/>
          <w:sz w:val="24"/>
          <w:lang w:val="it-IT"/>
        </w:rPr>
        <w:t xml:space="preserve"> </w:t>
      </w:r>
      <w:r w:rsidRPr="004E74E3">
        <w:rPr>
          <w:sz w:val="24"/>
          <w:lang w:val="it-IT"/>
        </w:rPr>
        <w:t>danno</w:t>
      </w:r>
      <w:r w:rsidRPr="004E74E3">
        <w:rPr>
          <w:spacing w:val="24"/>
          <w:sz w:val="24"/>
          <w:lang w:val="it-IT"/>
        </w:rPr>
        <w:t xml:space="preserve"> </w:t>
      </w:r>
      <w:r w:rsidRPr="004E74E3">
        <w:rPr>
          <w:sz w:val="24"/>
          <w:lang w:val="it-IT"/>
        </w:rPr>
        <w:t>subito,</w:t>
      </w:r>
      <w:r w:rsidRPr="004E74E3">
        <w:rPr>
          <w:spacing w:val="23"/>
          <w:sz w:val="24"/>
          <w:lang w:val="it-IT"/>
        </w:rPr>
        <w:t xml:space="preserve"> </w:t>
      </w:r>
      <w:r w:rsidRPr="004E74E3">
        <w:rPr>
          <w:sz w:val="24"/>
          <w:lang w:val="it-IT"/>
        </w:rPr>
        <w:t>evidenzia</w:t>
      </w:r>
      <w:r w:rsidRPr="004E74E3">
        <w:rPr>
          <w:spacing w:val="24"/>
          <w:sz w:val="24"/>
          <w:lang w:val="it-IT"/>
        </w:rPr>
        <w:t xml:space="preserve"> </w:t>
      </w:r>
      <w:r w:rsidRPr="004E74E3">
        <w:rPr>
          <w:sz w:val="24"/>
          <w:lang w:val="it-IT"/>
        </w:rPr>
        <w:t>la</w:t>
      </w:r>
      <w:r w:rsidRPr="004E74E3">
        <w:rPr>
          <w:spacing w:val="23"/>
          <w:sz w:val="24"/>
          <w:lang w:val="it-IT"/>
        </w:rPr>
        <w:t xml:space="preserve"> </w:t>
      </w:r>
      <w:r w:rsidRPr="004E74E3">
        <w:rPr>
          <w:sz w:val="24"/>
          <w:lang w:val="it-IT"/>
        </w:rPr>
        <w:t>Banca</w:t>
      </w:r>
      <w:r w:rsidRPr="004E74E3">
        <w:rPr>
          <w:spacing w:val="24"/>
          <w:sz w:val="24"/>
          <w:lang w:val="it-IT"/>
        </w:rPr>
        <w:t xml:space="preserve"> </w:t>
      </w:r>
      <w:r w:rsidRPr="004E74E3">
        <w:rPr>
          <w:sz w:val="24"/>
          <w:lang w:val="it-IT"/>
        </w:rPr>
        <w:t>che</w:t>
      </w:r>
    </w:p>
    <w:p w:rsidR="002751E6" w:rsidRPr="004E74E3" w:rsidRDefault="003D7D83">
      <w:pPr>
        <w:spacing w:before="99" w:line="343" w:lineRule="auto"/>
        <w:ind w:left="1988" w:right="317"/>
        <w:jc w:val="both"/>
        <w:rPr>
          <w:sz w:val="24"/>
          <w:lang w:val="it-IT"/>
        </w:rPr>
      </w:pPr>
      <w:r w:rsidRPr="004E74E3">
        <w:rPr>
          <w:sz w:val="24"/>
          <w:lang w:val="it-IT"/>
        </w:rPr>
        <w:t>“</w:t>
      </w:r>
      <w:r w:rsidRPr="004E74E3">
        <w:rPr>
          <w:i/>
          <w:sz w:val="24"/>
          <w:lang w:val="it-IT"/>
        </w:rPr>
        <w:t>considerato l’importo investito in data 17.06.2011 pari ad € 51.339,260</w:t>
      </w:r>
      <w:r w:rsidRPr="004E74E3">
        <w:rPr>
          <w:sz w:val="24"/>
          <w:lang w:val="it-IT"/>
        </w:rPr>
        <w:t xml:space="preserve">, </w:t>
      </w:r>
      <w:r w:rsidRPr="004E74E3">
        <w:rPr>
          <w:i/>
          <w:sz w:val="24"/>
          <w:lang w:val="it-IT"/>
        </w:rPr>
        <w:t xml:space="preserve">le </w:t>
      </w:r>
      <w:r w:rsidRPr="004E74E3">
        <w:rPr>
          <w:i/>
          <w:sz w:val="24"/>
          <w:lang w:val="it-IT"/>
        </w:rPr>
        <w:t>cedole incassate per un totale di € 12.432,00 e il valore delle azioni ancora detenute che al 30/01/19 ammontava ad € 7.265,46 (n. 5.780 azioni x € 1,2570), la potenziale minusvalenze ammonta ad € 31.641,80; quest'ultima sarebbe stata ancora inferiore se l</w:t>
      </w:r>
      <w:r w:rsidRPr="004E74E3">
        <w:rPr>
          <w:i/>
          <w:sz w:val="24"/>
          <w:lang w:val="it-IT"/>
        </w:rPr>
        <w:t>e citate azioni fossero state alienate sin dal momento della riammissione in</w:t>
      </w:r>
      <w:r w:rsidRPr="004E74E3">
        <w:rPr>
          <w:i/>
          <w:spacing w:val="-1"/>
          <w:sz w:val="24"/>
          <w:lang w:val="it-IT"/>
        </w:rPr>
        <w:t xml:space="preserve"> </w:t>
      </w:r>
      <w:r w:rsidRPr="004E74E3">
        <w:rPr>
          <w:i/>
          <w:sz w:val="24"/>
          <w:lang w:val="it-IT"/>
        </w:rPr>
        <w:t>Borsa</w:t>
      </w:r>
      <w:r w:rsidRPr="004E74E3">
        <w:rPr>
          <w:sz w:val="24"/>
          <w:lang w:val="it-IT"/>
        </w:rPr>
        <w:t>”.</w:t>
      </w:r>
    </w:p>
    <w:p w:rsidR="002751E6" w:rsidRPr="004E74E3" w:rsidRDefault="002751E6">
      <w:pPr>
        <w:spacing w:line="343" w:lineRule="auto"/>
        <w:jc w:val="both"/>
        <w:rPr>
          <w:sz w:val="24"/>
          <w:lang w:val="it-IT"/>
        </w:rPr>
        <w:sectPr w:rsidR="002751E6" w:rsidRPr="004E74E3">
          <w:pgSz w:w="11900" w:h="16840"/>
          <w:pgMar w:top="1600" w:right="1680" w:bottom="1180" w:left="0" w:header="0" w:footer="999" w:gutter="0"/>
          <w:cols w:space="720"/>
        </w:sect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spacing w:before="11"/>
        <w:rPr>
          <w:sz w:val="21"/>
          <w:lang w:val="it-IT"/>
        </w:rPr>
      </w:pPr>
    </w:p>
    <w:p w:rsidR="002751E6" w:rsidRDefault="003D7D83">
      <w:pPr>
        <w:spacing w:before="94"/>
        <w:ind w:left="5523" w:right="3833"/>
        <w:jc w:val="center"/>
        <w:rPr>
          <w:b/>
          <w:sz w:val="19"/>
        </w:rPr>
      </w:pPr>
      <w:r>
        <w:rPr>
          <w:b/>
          <w:sz w:val="19"/>
        </w:rPr>
        <w:t>DIRITTO</w:t>
      </w:r>
    </w:p>
    <w:p w:rsidR="002751E6" w:rsidRPr="004E74E3" w:rsidRDefault="003D7D83">
      <w:pPr>
        <w:pStyle w:val="Paragrafoelenco"/>
        <w:numPr>
          <w:ilvl w:val="1"/>
          <w:numId w:val="4"/>
        </w:numPr>
        <w:tabs>
          <w:tab w:val="left" w:pos="2238"/>
        </w:tabs>
        <w:spacing w:before="131" w:line="343" w:lineRule="auto"/>
        <w:ind w:right="294" w:firstLine="0"/>
        <w:jc w:val="both"/>
        <w:rPr>
          <w:sz w:val="24"/>
          <w:lang w:val="it-IT"/>
        </w:rPr>
      </w:pPr>
      <w:r w:rsidRPr="004E74E3">
        <w:rPr>
          <w:sz w:val="24"/>
          <w:lang w:val="it-IT"/>
        </w:rPr>
        <w:t>Preliminarmente, quanto alla mancata produzione del contratto quadro da parte dell’Intermediario, va rilevato che il Ricorrente, pur contestando in via di principio la nullità, ha comunque concluso formulando una domanda non restitutoria, bensì risarcitori</w:t>
      </w:r>
      <w:r w:rsidRPr="004E74E3">
        <w:rPr>
          <w:sz w:val="24"/>
          <w:lang w:val="it-IT"/>
        </w:rPr>
        <w:t xml:space="preserve">a del danno occorso, quantificato in </w:t>
      </w:r>
      <w:r w:rsidRPr="004E74E3">
        <w:rPr>
          <w:spacing w:val="-2"/>
          <w:sz w:val="24"/>
          <w:lang w:val="it-IT"/>
        </w:rPr>
        <w:t>“</w:t>
      </w:r>
      <w:r w:rsidRPr="004E74E3">
        <w:rPr>
          <w:i/>
          <w:spacing w:val="-2"/>
          <w:sz w:val="24"/>
          <w:lang w:val="it-IT"/>
        </w:rPr>
        <w:t xml:space="preserve">circa </w:t>
      </w:r>
      <w:r w:rsidRPr="004E74E3">
        <w:rPr>
          <w:i/>
          <w:sz w:val="24"/>
          <w:lang w:val="it-IT"/>
        </w:rPr>
        <w:t xml:space="preserve">36 mila </w:t>
      </w:r>
      <w:r w:rsidRPr="004E74E3">
        <w:rPr>
          <w:i/>
          <w:spacing w:val="-3"/>
          <w:sz w:val="24"/>
          <w:lang w:val="it-IT"/>
        </w:rPr>
        <w:t xml:space="preserve">euro ovvero </w:t>
      </w:r>
      <w:r w:rsidRPr="004E74E3">
        <w:rPr>
          <w:i/>
          <w:sz w:val="24"/>
          <w:lang w:val="it-IT"/>
        </w:rPr>
        <w:t xml:space="preserve">alla differenza tra l’attuale controvalore delle azioni ed il valore nominale, </w:t>
      </w:r>
      <w:r w:rsidRPr="004E74E3">
        <w:rPr>
          <w:i/>
          <w:spacing w:val="-3"/>
          <w:sz w:val="24"/>
          <w:lang w:val="it-IT"/>
        </w:rPr>
        <w:t xml:space="preserve">oltre </w:t>
      </w:r>
      <w:r w:rsidRPr="004E74E3">
        <w:rPr>
          <w:i/>
          <w:sz w:val="24"/>
          <w:lang w:val="it-IT"/>
        </w:rPr>
        <w:t>alla mancata percezione comunque delle cedole per gli anni dal 2017 al 2020, cui i ricorrenti hanno diritto</w:t>
      </w:r>
      <w:r w:rsidRPr="004E74E3">
        <w:rPr>
          <w:i/>
          <w:sz w:val="24"/>
          <w:lang w:val="it-IT"/>
        </w:rPr>
        <w:t xml:space="preserve"> visto che hanno ceduto un precedente titolo con un rendimento 4,75%”</w:t>
      </w:r>
      <w:r w:rsidRPr="004E74E3">
        <w:rPr>
          <w:sz w:val="24"/>
          <w:lang w:val="it-IT"/>
        </w:rPr>
        <w:t xml:space="preserve">. In ossequio al principio della domanda e al divieto di </w:t>
      </w:r>
      <w:r w:rsidRPr="004E74E3">
        <w:rPr>
          <w:i/>
          <w:sz w:val="24"/>
          <w:lang w:val="it-IT"/>
        </w:rPr>
        <w:t>ultrapetitum</w:t>
      </w:r>
      <w:r w:rsidRPr="004E74E3">
        <w:rPr>
          <w:sz w:val="24"/>
          <w:lang w:val="it-IT"/>
        </w:rPr>
        <w:t>, questo Collegio è pertanto chiamato a pronunciarsi su tale domanda risarcitoria.</w:t>
      </w:r>
    </w:p>
    <w:p w:rsidR="002751E6" w:rsidRPr="004E74E3" w:rsidRDefault="003D7D83">
      <w:pPr>
        <w:pStyle w:val="Paragrafoelenco"/>
        <w:numPr>
          <w:ilvl w:val="1"/>
          <w:numId w:val="4"/>
        </w:numPr>
        <w:tabs>
          <w:tab w:val="left" w:pos="2330"/>
        </w:tabs>
        <w:spacing w:before="3" w:line="343" w:lineRule="auto"/>
        <w:ind w:right="294" w:firstLine="0"/>
        <w:jc w:val="both"/>
        <w:rPr>
          <w:sz w:val="24"/>
          <w:lang w:val="it-IT"/>
        </w:rPr>
      </w:pPr>
      <w:r w:rsidRPr="004E74E3">
        <w:rPr>
          <w:spacing w:val="-5"/>
          <w:sz w:val="24"/>
          <w:lang w:val="it-IT"/>
        </w:rPr>
        <w:t xml:space="preserve">Venendo </w:t>
      </w:r>
      <w:r w:rsidRPr="004E74E3">
        <w:rPr>
          <w:sz w:val="24"/>
          <w:lang w:val="it-IT"/>
        </w:rPr>
        <w:t>al merito, per quanto conce</w:t>
      </w:r>
      <w:r w:rsidRPr="004E74E3">
        <w:rPr>
          <w:sz w:val="24"/>
          <w:lang w:val="it-IT"/>
        </w:rPr>
        <w:t>rne l’adempimento degli obblighi informativi in capo alla Banca, la scheda informativa sub All. 1 Deduzioni Intermediario non evidenzia in alcun modo la clausola di subordinazione delle obbligazioni (il suffisso “SUB” non è contenuto nella denominazione e,</w:t>
      </w:r>
      <w:r w:rsidRPr="004E74E3">
        <w:rPr>
          <w:sz w:val="24"/>
          <w:lang w:val="it-IT"/>
        </w:rPr>
        <w:t xml:space="preserve"> soprattutto, nella classificazione riportata al “</w:t>
      </w:r>
      <w:r w:rsidRPr="004E74E3">
        <w:rPr>
          <w:i/>
          <w:sz w:val="24"/>
          <w:lang w:val="it-IT"/>
        </w:rPr>
        <w:t>Sottogruppo Strumento</w:t>
      </w:r>
      <w:r w:rsidRPr="004E74E3">
        <w:rPr>
          <w:sz w:val="24"/>
          <w:lang w:val="it-IT"/>
        </w:rPr>
        <w:t>” risulta indicato</w:t>
      </w:r>
      <w:r w:rsidRPr="004E74E3">
        <w:rPr>
          <w:spacing w:val="-1"/>
          <w:sz w:val="24"/>
          <w:lang w:val="it-IT"/>
        </w:rPr>
        <w:t xml:space="preserve"> </w:t>
      </w:r>
      <w:r w:rsidRPr="004E74E3">
        <w:rPr>
          <w:sz w:val="24"/>
          <w:lang w:val="it-IT"/>
        </w:rPr>
        <w:t>“</w:t>
      </w:r>
      <w:r w:rsidRPr="004E74E3">
        <w:rPr>
          <w:i/>
          <w:sz w:val="24"/>
          <w:lang w:val="it-IT"/>
        </w:rPr>
        <w:t>ORDINARIE</w:t>
      </w:r>
      <w:r w:rsidRPr="004E74E3">
        <w:rPr>
          <w:sz w:val="24"/>
          <w:lang w:val="it-IT"/>
        </w:rPr>
        <w:t>”).</w:t>
      </w:r>
    </w:p>
    <w:p w:rsidR="002751E6" w:rsidRPr="004E74E3" w:rsidRDefault="003D7D83">
      <w:pPr>
        <w:spacing w:before="2" w:line="343" w:lineRule="auto"/>
        <w:ind w:left="1988" w:right="293"/>
        <w:jc w:val="both"/>
        <w:rPr>
          <w:sz w:val="24"/>
          <w:lang w:val="it-IT"/>
        </w:rPr>
      </w:pPr>
      <w:r w:rsidRPr="004E74E3">
        <w:rPr>
          <w:sz w:val="24"/>
          <w:lang w:val="it-IT"/>
        </w:rPr>
        <w:t>Al riguardo, questo Collegio ha ribadito in più occasioni l’importanza che l’intermediario richiami l’attenzione del cliente, al momento dell’investimen</w:t>
      </w:r>
      <w:r w:rsidRPr="004E74E3">
        <w:rPr>
          <w:sz w:val="24"/>
          <w:lang w:val="it-IT"/>
        </w:rPr>
        <w:t xml:space="preserve">to, sulle particolari caratteristiche che connotano il tipo di strumento, tra cui, come nel caso di specie, la presenza di una clausola di subordinazione </w:t>
      </w:r>
      <w:r w:rsidRPr="004E74E3">
        <w:rPr>
          <w:spacing w:val="2"/>
          <w:sz w:val="24"/>
          <w:lang w:val="it-IT"/>
        </w:rPr>
        <w:t>(</w:t>
      </w:r>
      <w:r w:rsidRPr="004E74E3">
        <w:rPr>
          <w:i/>
          <w:spacing w:val="2"/>
          <w:sz w:val="24"/>
          <w:lang w:val="it-IT"/>
        </w:rPr>
        <w:t xml:space="preserve">ex </w:t>
      </w:r>
      <w:r w:rsidRPr="004E74E3">
        <w:rPr>
          <w:i/>
          <w:sz w:val="24"/>
          <w:lang w:val="it-IT"/>
        </w:rPr>
        <w:t>multis</w:t>
      </w:r>
      <w:r w:rsidRPr="004E74E3">
        <w:rPr>
          <w:sz w:val="24"/>
          <w:lang w:val="it-IT"/>
        </w:rPr>
        <w:t xml:space="preserve">, Decisione ACF n. 1851/2019). In analoghe sempre questo Collegio ha avuto modo di rilevare </w:t>
      </w:r>
      <w:r w:rsidRPr="004E74E3">
        <w:rPr>
          <w:sz w:val="24"/>
          <w:lang w:val="it-IT"/>
        </w:rPr>
        <w:t>che “</w:t>
      </w:r>
      <w:r w:rsidRPr="004E74E3">
        <w:rPr>
          <w:i/>
          <w:sz w:val="24"/>
          <w:lang w:val="it-IT"/>
        </w:rPr>
        <w:t>l’informazione presente sul modulo dell’ordine di acquisto si presentava addirittura come parzialmente decettiva, giacché in esso si indicava lo strumento finanziario oggetto dell’investimento come appartenente al sottogruppo delle “obbligazioni ordin</w:t>
      </w:r>
      <w:r w:rsidRPr="004E74E3">
        <w:rPr>
          <w:i/>
          <w:sz w:val="24"/>
          <w:lang w:val="it-IT"/>
        </w:rPr>
        <w:t xml:space="preserve">arie”. Insomma, quand’anche il ricorrente avesse avuto esperienza sufficiente per </w:t>
      </w:r>
      <w:r w:rsidRPr="004E74E3">
        <w:rPr>
          <w:i/>
          <w:spacing w:val="-3"/>
          <w:sz w:val="24"/>
          <w:lang w:val="it-IT"/>
        </w:rPr>
        <w:t xml:space="preserve">sapere </w:t>
      </w:r>
      <w:r w:rsidRPr="004E74E3">
        <w:rPr>
          <w:i/>
          <w:sz w:val="24"/>
          <w:lang w:val="it-IT"/>
        </w:rPr>
        <w:t>quali erano le caratteristiche e il grado di rischio delle obbligazioni subordinate, la locuzione presente sul modulo di acquisto era di per sé tale da indurlo a confi</w:t>
      </w:r>
      <w:r w:rsidRPr="004E74E3">
        <w:rPr>
          <w:i/>
          <w:sz w:val="24"/>
          <w:lang w:val="it-IT"/>
        </w:rPr>
        <w:t>dare di aver comprato strumenti “ordinari”, e dunque caratterizzati da un grado di rischio infinitamente minore</w:t>
      </w:r>
      <w:r w:rsidRPr="004E74E3">
        <w:rPr>
          <w:sz w:val="24"/>
          <w:lang w:val="it-IT"/>
        </w:rPr>
        <w:t>” (Decisioni ACF n. 1816/2019 e n.</w:t>
      </w:r>
      <w:r w:rsidRPr="004E74E3">
        <w:rPr>
          <w:spacing w:val="-14"/>
          <w:sz w:val="24"/>
          <w:lang w:val="it-IT"/>
        </w:rPr>
        <w:t xml:space="preserve"> </w:t>
      </w:r>
      <w:r w:rsidRPr="004E74E3">
        <w:rPr>
          <w:sz w:val="24"/>
          <w:lang w:val="it-IT"/>
        </w:rPr>
        <w:t>1647/2019).</w:t>
      </w:r>
    </w:p>
    <w:p w:rsidR="002751E6" w:rsidRPr="004E74E3" w:rsidRDefault="002751E6">
      <w:pPr>
        <w:spacing w:line="343" w:lineRule="auto"/>
        <w:jc w:val="both"/>
        <w:rPr>
          <w:sz w:val="24"/>
          <w:lang w:val="it-IT"/>
        </w:rPr>
        <w:sectPr w:rsidR="002751E6" w:rsidRPr="004E74E3">
          <w:pgSz w:w="11900" w:h="16840"/>
          <w:pgMar w:top="1600" w:right="1680" w:bottom="1180" w:left="0" w:header="0" w:footer="999" w:gutter="0"/>
          <w:cols w:space="720"/>
        </w:sect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spacing w:before="3"/>
        <w:rPr>
          <w:sz w:val="18"/>
          <w:lang w:val="it-IT"/>
        </w:rPr>
      </w:pPr>
    </w:p>
    <w:p w:rsidR="002751E6" w:rsidRPr="004E74E3" w:rsidRDefault="003D7D83">
      <w:pPr>
        <w:spacing w:before="90" w:line="343" w:lineRule="auto"/>
        <w:ind w:left="1988" w:right="296"/>
        <w:jc w:val="both"/>
        <w:rPr>
          <w:sz w:val="24"/>
          <w:lang w:val="it-IT"/>
        </w:rPr>
      </w:pPr>
      <w:r w:rsidRPr="004E74E3">
        <w:rPr>
          <w:sz w:val="24"/>
          <w:lang w:val="it-IT"/>
        </w:rPr>
        <w:t>Al riguardo, l’Intermediario eccepisce di ritenere di aver adempiuto corretta</w:t>
      </w:r>
      <w:r w:rsidRPr="004E74E3">
        <w:rPr>
          <w:sz w:val="24"/>
          <w:lang w:val="it-IT"/>
        </w:rPr>
        <w:t>mente ai propri obblighi informativi in quanto il cliente ha sottoscritto, nel medesimo ordine di acquisto, la dichiarazione prestampata “</w:t>
      </w:r>
      <w:r w:rsidRPr="004E74E3">
        <w:rPr>
          <w:i/>
          <w:sz w:val="24"/>
          <w:lang w:val="it-IT"/>
        </w:rPr>
        <w:t xml:space="preserve">di aver ricevuto informazioni adeguate sulla natura sui rischi e sulle implicazioni del presente ordine e di aver </w:t>
      </w:r>
      <w:r w:rsidRPr="004E74E3">
        <w:rPr>
          <w:i/>
          <w:spacing w:val="-3"/>
          <w:sz w:val="24"/>
          <w:lang w:val="it-IT"/>
        </w:rPr>
        <w:t>pres</w:t>
      </w:r>
      <w:r w:rsidRPr="004E74E3">
        <w:rPr>
          <w:i/>
          <w:spacing w:val="-3"/>
          <w:sz w:val="24"/>
          <w:lang w:val="it-IT"/>
        </w:rPr>
        <w:t xml:space="preserve">o </w:t>
      </w:r>
      <w:r w:rsidRPr="004E74E3">
        <w:rPr>
          <w:i/>
          <w:sz w:val="24"/>
          <w:lang w:val="it-IT"/>
        </w:rPr>
        <w:t>nota delle clausole che lo contraddistinguono</w:t>
      </w:r>
      <w:r w:rsidRPr="004E74E3">
        <w:rPr>
          <w:sz w:val="24"/>
          <w:lang w:val="it-IT"/>
        </w:rPr>
        <w:t>”. Tuttavia, anche con riguardo a tale profilo queto Collegio ha avuto modo di affermare che l’intermediario non può ritenere di aver compiutamente assolto ai propri obblighi informativi con “</w:t>
      </w:r>
      <w:r w:rsidRPr="004E74E3">
        <w:rPr>
          <w:i/>
          <w:sz w:val="24"/>
          <w:lang w:val="it-IT"/>
        </w:rPr>
        <w:t xml:space="preserve">l’impiego di clausole di stile, con le quali si dà atto che il cliente è stato informato in ordine alla natura e ai rischi dell’investimento poi enucleati in documenti (la Scheda Prodotto) ai quali viene fatto rinvio </w:t>
      </w:r>
      <w:r w:rsidRPr="004E74E3">
        <w:rPr>
          <w:sz w:val="24"/>
          <w:lang w:val="it-IT"/>
        </w:rPr>
        <w:t xml:space="preserve">per relationem </w:t>
      </w:r>
      <w:r w:rsidRPr="004E74E3">
        <w:rPr>
          <w:i/>
          <w:sz w:val="24"/>
          <w:lang w:val="it-IT"/>
        </w:rPr>
        <w:t>non è sufficiente per ri</w:t>
      </w:r>
      <w:r w:rsidRPr="004E74E3">
        <w:rPr>
          <w:i/>
          <w:sz w:val="24"/>
          <w:lang w:val="it-IT"/>
        </w:rPr>
        <w:t>tenere che vi sia stata puntuale ottemperanza da parte dell’Intermediario medesimo agli obblighi di che trattasi</w:t>
      </w:r>
      <w:r w:rsidRPr="004E74E3">
        <w:rPr>
          <w:sz w:val="24"/>
          <w:lang w:val="it-IT"/>
        </w:rPr>
        <w:t>” (Decisione ACF n. 596/2018).</w:t>
      </w:r>
    </w:p>
    <w:p w:rsidR="002751E6" w:rsidRPr="004E74E3" w:rsidRDefault="003D7D83">
      <w:pPr>
        <w:pStyle w:val="Corpotesto"/>
        <w:spacing w:before="5" w:line="343" w:lineRule="auto"/>
        <w:ind w:left="1988" w:right="294"/>
        <w:jc w:val="both"/>
        <w:rPr>
          <w:lang w:val="it-IT"/>
        </w:rPr>
      </w:pPr>
      <w:r w:rsidRPr="004E74E3">
        <w:rPr>
          <w:lang w:val="it-IT"/>
        </w:rPr>
        <w:t>Infine, l’Intermediario eccepisce che Parte ricorrente avrebbe acquisito successivamente contezza della natura su</w:t>
      </w:r>
      <w:r w:rsidRPr="004E74E3">
        <w:rPr>
          <w:lang w:val="it-IT"/>
        </w:rPr>
        <w:t>bordinata delle obbligazioni acquistate tramite la missiva del 27.06.2012 sull’Offerta Pubblica di Scambio promossa dalla Banca. Orbene, sottolineato che tale documento è stato prodotto dall’Intermediario solo nelle repliche finali, non dando così modo a P</w:t>
      </w:r>
      <w:r w:rsidRPr="004E74E3">
        <w:rPr>
          <w:lang w:val="it-IT"/>
        </w:rPr>
        <w:t>arte ricorrente di replicare in merito, ad ogni modo nessuna prova è stata fornita dall’Intermediario in merito all’effettiva ricezione di tale comunicazione da parte del cliente (ad es., ricevute di ritorno o simili). In considerazione di ciò, stante anch</w:t>
      </w:r>
      <w:r w:rsidRPr="004E74E3">
        <w:rPr>
          <w:lang w:val="it-IT"/>
        </w:rPr>
        <w:t>e la citata assenza del contratto quadro per cui non è dato sapere come le parti abbiano contrattualmente disciplinato le comunicazioni tra di esse, non può ritenersi provata la effettiva ricezione della suddetta comunicazione da parte del cliente, sulla b</w:t>
      </w:r>
      <w:r w:rsidRPr="004E74E3">
        <w:rPr>
          <w:lang w:val="it-IT"/>
        </w:rPr>
        <w:t>ase della quale l’Intermediario vorrebbe sostenere il (sopravvenuto) adempimento ai propri obblighi informativi o comunque una sostanziale “ratifica” del suo operato da parte dell’investitore, cosicché l’eccezione sollevata non può valere quale</w:t>
      </w:r>
      <w:r w:rsidRPr="004E74E3">
        <w:rPr>
          <w:spacing w:val="1"/>
          <w:lang w:val="it-IT"/>
        </w:rPr>
        <w:t xml:space="preserve"> </w:t>
      </w:r>
      <w:r w:rsidRPr="004E74E3">
        <w:rPr>
          <w:lang w:val="it-IT"/>
        </w:rPr>
        <w:t>esimente.</w:t>
      </w:r>
    </w:p>
    <w:p w:rsidR="002751E6" w:rsidRPr="004E74E3" w:rsidRDefault="003D7D83">
      <w:pPr>
        <w:pStyle w:val="Paragrafoelenco"/>
        <w:numPr>
          <w:ilvl w:val="1"/>
          <w:numId w:val="4"/>
        </w:numPr>
        <w:tabs>
          <w:tab w:val="left" w:pos="2256"/>
        </w:tabs>
        <w:spacing w:before="5" w:line="343" w:lineRule="auto"/>
        <w:ind w:right="296" w:firstLine="0"/>
        <w:jc w:val="both"/>
        <w:rPr>
          <w:sz w:val="24"/>
          <w:lang w:val="it-IT"/>
        </w:rPr>
      </w:pPr>
      <w:r w:rsidRPr="004E74E3">
        <w:rPr>
          <w:sz w:val="24"/>
          <w:lang w:val="it-IT"/>
        </w:rPr>
        <w:t>Q</w:t>
      </w:r>
      <w:r w:rsidRPr="004E74E3">
        <w:rPr>
          <w:sz w:val="24"/>
          <w:lang w:val="it-IT"/>
        </w:rPr>
        <w:t>uanto alle doglianze circa la mancata produzione dei questionari Mifid e la valutazione di adeguatezza/appropriatezza dell’investimento, in via preliminare, non</w:t>
      </w:r>
      <w:r w:rsidRPr="004E74E3">
        <w:rPr>
          <w:spacing w:val="14"/>
          <w:sz w:val="24"/>
          <w:lang w:val="it-IT"/>
        </w:rPr>
        <w:t xml:space="preserve"> </w:t>
      </w:r>
      <w:r w:rsidRPr="004E74E3">
        <w:rPr>
          <w:sz w:val="24"/>
          <w:lang w:val="it-IT"/>
        </w:rPr>
        <w:t>può</w:t>
      </w:r>
      <w:r w:rsidRPr="004E74E3">
        <w:rPr>
          <w:spacing w:val="15"/>
          <w:sz w:val="24"/>
          <w:lang w:val="it-IT"/>
        </w:rPr>
        <w:t xml:space="preserve"> </w:t>
      </w:r>
      <w:r w:rsidRPr="004E74E3">
        <w:rPr>
          <w:sz w:val="24"/>
          <w:lang w:val="it-IT"/>
        </w:rPr>
        <w:t>sottacersi</w:t>
      </w:r>
      <w:r w:rsidRPr="004E74E3">
        <w:rPr>
          <w:spacing w:val="17"/>
          <w:sz w:val="24"/>
          <w:lang w:val="it-IT"/>
        </w:rPr>
        <w:t xml:space="preserve"> </w:t>
      </w:r>
      <w:r w:rsidRPr="004E74E3">
        <w:rPr>
          <w:sz w:val="24"/>
          <w:lang w:val="it-IT"/>
        </w:rPr>
        <w:t>la</w:t>
      </w:r>
      <w:r w:rsidRPr="004E74E3">
        <w:rPr>
          <w:spacing w:val="14"/>
          <w:sz w:val="24"/>
          <w:lang w:val="it-IT"/>
        </w:rPr>
        <w:t xml:space="preserve"> </w:t>
      </w:r>
      <w:r w:rsidRPr="004E74E3">
        <w:rPr>
          <w:sz w:val="24"/>
          <w:lang w:val="it-IT"/>
        </w:rPr>
        <w:t>mancata</w:t>
      </w:r>
      <w:r w:rsidRPr="004E74E3">
        <w:rPr>
          <w:spacing w:val="14"/>
          <w:sz w:val="24"/>
          <w:lang w:val="it-IT"/>
        </w:rPr>
        <w:t xml:space="preserve"> </w:t>
      </w:r>
      <w:r w:rsidRPr="004E74E3">
        <w:rPr>
          <w:sz w:val="24"/>
          <w:lang w:val="it-IT"/>
        </w:rPr>
        <w:t>produzione</w:t>
      </w:r>
      <w:r w:rsidRPr="004E74E3">
        <w:rPr>
          <w:spacing w:val="17"/>
          <w:sz w:val="24"/>
          <w:lang w:val="it-IT"/>
        </w:rPr>
        <w:t xml:space="preserve"> </w:t>
      </w:r>
      <w:r w:rsidRPr="004E74E3">
        <w:rPr>
          <w:sz w:val="24"/>
          <w:lang w:val="it-IT"/>
        </w:rPr>
        <w:t>da</w:t>
      </w:r>
      <w:r w:rsidRPr="004E74E3">
        <w:rPr>
          <w:spacing w:val="15"/>
          <w:sz w:val="24"/>
          <w:lang w:val="it-IT"/>
        </w:rPr>
        <w:t xml:space="preserve"> </w:t>
      </w:r>
      <w:r w:rsidRPr="004E74E3">
        <w:rPr>
          <w:sz w:val="24"/>
          <w:lang w:val="it-IT"/>
        </w:rPr>
        <w:t>parte</w:t>
      </w:r>
      <w:r w:rsidRPr="004E74E3">
        <w:rPr>
          <w:spacing w:val="14"/>
          <w:sz w:val="24"/>
          <w:lang w:val="it-IT"/>
        </w:rPr>
        <w:t xml:space="preserve"> </w:t>
      </w:r>
      <w:r w:rsidRPr="004E74E3">
        <w:rPr>
          <w:sz w:val="24"/>
          <w:lang w:val="it-IT"/>
        </w:rPr>
        <w:t>dell’Intermediario,</w:t>
      </w:r>
      <w:r w:rsidRPr="004E74E3">
        <w:rPr>
          <w:spacing w:val="15"/>
          <w:sz w:val="24"/>
          <w:lang w:val="it-IT"/>
        </w:rPr>
        <w:t xml:space="preserve"> </w:t>
      </w:r>
      <w:r w:rsidRPr="004E74E3">
        <w:rPr>
          <w:sz w:val="24"/>
          <w:lang w:val="it-IT"/>
        </w:rPr>
        <w:t>nonostante</w:t>
      </w:r>
    </w:p>
    <w:p w:rsidR="002751E6" w:rsidRPr="004E74E3" w:rsidRDefault="002751E6">
      <w:pPr>
        <w:spacing w:line="343" w:lineRule="auto"/>
        <w:jc w:val="both"/>
        <w:rPr>
          <w:sz w:val="24"/>
          <w:lang w:val="it-IT"/>
        </w:rPr>
        <w:sectPr w:rsidR="002751E6" w:rsidRPr="004E74E3">
          <w:pgSz w:w="11900" w:h="16840"/>
          <w:pgMar w:top="1600" w:right="1680" w:bottom="1180" w:left="0" w:header="0" w:footer="999" w:gutter="0"/>
          <w:cols w:space="720"/>
        </w:sect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spacing w:before="3"/>
        <w:rPr>
          <w:sz w:val="18"/>
          <w:lang w:val="it-IT"/>
        </w:rPr>
      </w:pPr>
    </w:p>
    <w:p w:rsidR="002751E6" w:rsidRPr="004E74E3" w:rsidRDefault="003D7D83">
      <w:pPr>
        <w:pStyle w:val="Corpotesto"/>
        <w:spacing w:before="90" w:line="343" w:lineRule="auto"/>
        <w:ind w:left="1988" w:right="300"/>
        <w:jc w:val="both"/>
        <w:rPr>
          <w:lang w:val="it-IT"/>
        </w:rPr>
      </w:pPr>
      <w:r w:rsidRPr="004E74E3">
        <w:rPr>
          <w:lang w:val="it-IT"/>
        </w:rPr>
        <w:t>l’espressa richiesta di Parte ricorrente in tal senso già nella fase precedente al presente procedimento, dei questionari di profilatura Mifid, motivo per cui non è possibile valutare la bontà o meno delle valutazioni effettuate in punto di adeguatezza/app</w:t>
      </w:r>
      <w:r w:rsidRPr="004E74E3">
        <w:rPr>
          <w:lang w:val="it-IT"/>
        </w:rPr>
        <w:t>ropriatezza dell’investimento.</w:t>
      </w:r>
    </w:p>
    <w:p w:rsidR="002751E6" w:rsidRPr="004E74E3" w:rsidRDefault="003D7D83">
      <w:pPr>
        <w:pStyle w:val="Corpotesto"/>
        <w:spacing w:before="1" w:line="343" w:lineRule="auto"/>
        <w:ind w:left="1988" w:right="295"/>
        <w:jc w:val="both"/>
        <w:rPr>
          <w:lang w:val="it-IT"/>
        </w:rPr>
      </w:pPr>
      <w:r w:rsidRPr="004E74E3">
        <w:rPr>
          <w:lang w:val="it-IT"/>
        </w:rPr>
        <w:t>Ciò detto, pur constando che la Banca abbia segnalato al cliente la non appropriatezza per “</w:t>
      </w:r>
      <w:r w:rsidRPr="004E74E3">
        <w:rPr>
          <w:i/>
          <w:lang w:val="it-IT"/>
        </w:rPr>
        <w:t>difformità dell’investimento rispetto all’esperienza dichiarata</w:t>
      </w:r>
      <w:r w:rsidRPr="004E74E3">
        <w:rPr>
          <w:lang w:val="it-IT"/>
        </w:rPr>
        <w:t>”, la mancata produzione dei questionari Mifid non consente di avere c</w:t>
      </w:r>
      <w:r w:rsidRPr="004E74E3">
        <w:rPr>
          <w:lang w:val="it-IT"/>
        </w:rPr>
        <w:t>ontezza del percorso motivazionale a fondamento di un tale giudizio e, per l’effetto, verificare anche il grado di diligenza della condotta dell’Intermediario. Inoltre, la mancata produzione del contratto quadro non consente neanche di acclarare l’eventual</w:t>
      </w:r>
      <w:r w:rsidRPr="004E74E3">
        <w:rPr>
          <w:lang w:val="it-IT"/>
        </w:rPr>
        <w:t>e obbligo di condurre la valutazione di adeguatezza. Né sul punto potrebbe utilizzarsi quale unico parametro per valutare la correttezza dell’operato della Banca la composizione e la movimentazione del portafoglio di Parte ricorrente, posto che nel rendico</w:t>
      </w:r>
      <w:r w:rsidRPr="004E74E3">
        <w:rPr>
          <w:lang w:val="it-IT"/>
        </w:rPr>
        <w:t>nto titoli del 31.12.2010 precedente all’acquisto contestato, non si riscontra la presenza di obbligazioni subordinate nel portafoglio di Parte ricorrente, il quale era composto da titoli con indice di rischio inferiore rispetto a quelli oggetto dell’odier</w:t>
      </w:r>
      <w:r w:rsidRPr="004E74E3">
        <w:rPr>
          <w:lang w:val="it-IT"/>
        </w:rPr>
        <w:t>na controversia.</w:t>
      </w:r>
    </w:p>
    <w:p w:rsidR="002751E6" w:rsidRPr="004E74E3" w:rsidRDefault="003D7D83">
      <w:pPr>
        <w:pStyle w:val="Paragrafoelenco"/>
        <w:numPr>
          <w:ilvl w:val="1"/>
          <w:numId w:val="4"/>
        </w:numPr>
        <w:tabs>
          <w:tab w:val="left" w:pos="2230"/>
        </w:tabs>
        <w:spacing w:before="6" w:line="343" w:lineRule="auto"/>
        <w:ind w:right="294" w:firstLine="0"/>
        <w:jc w:val="both"/>
        <w:rPr>
          <w:sz w:val="24"/>
          <w:lang w:val="it-IT"/>
        </w:rPr>
      </w:pPr>
      <w:r w:rsidRPr="004E74E3">
        <w:rPr>
          <w:sz w:val="24"/>
          <w:lang w:val="it-IT"/>
        </w:rPr>
        <w:t xml:space="preserve">Quanto all’eccezione con cui la Banca vorrebbe attribuire rilevanza causale allo </w:t>
      </w:r>
      <w:r w:rsidRPr="004E74E3">
        <w:rPr>
          <w:i/>
          <w:sz w:val="24"/>
          <w:lang w:val="it-IT"/>
        </w:rPr>
        <w:t xml:space="preserve">status </w:t>
      </w:r>
      <w:r w:rsidRPr="004E74E3">
        <w:rPr>
          <w:sz w:val="24"/>
          <w:lang w:val="it-IT"/>
        </w:rPr>
        <w:t xml:space="preserve">di ex dipendente dell’Intermediario di Parte ricorrente, si tratta di </w:t>
      </w:r>
      <w:r w:rsidRPr="004E74E3">
        <w:rPr>
          <w:i/>
          <w:sz w:val="24"/>
          <w:lang w:val="it-IT"/>
        </w:rPr>
        <w:t xml:space="preserve">status </w:t>
      </w:r>
      <w:r w:rsidRPr="004E74E3">
        <w:rPr>
          <w:sz w:val="24"/>
          <w:lang w:val="it-IT"/>
        </w:rPr>
        <w:t xml:space="preserve">comunque venuto meno nel 2009, ossia circa due anni prima dell’operazione </w:t>
      </w:r>
      <w:r w:rsidRPr="004E74E3">
        <w:rPr>
          <w:sz w:val="24"/>
          <w:lang w:val="it-IT"/>
        </w:rPr>
        <w:t>contestata e che, pertanto, non può assumere rilievo nei riguardi di un cliente che era già in pensione da tempo al momento dell’operazione in</w:t>
      </w:r>
      <w:r w:rsidRPr="004E74E3">
        <w:rPr>
          <w:spacing w:val="-6"/>
          <w:sz w:val="24"/>
          <w:lang w:val="it-IT"/>
        </w:rPr>
        <w:t xml:space="preserve"> </w:t>
      </w:r>
      <w:r w:rsidRPr="004E74E3">
        <w:rPr>
          <w:sz w:val="24"/>
          <w:lang w:val="it-IT"/>
        </w:rPr>
        <w:t>questione.</w:t>
      </w:r>
    </w:p>
    <w:p w:rsidR="002751E6" w:rsidRPr="004E74E3" w:rsidRDefault="003D7D83">
      <w:pPr>
        <w:pStyle w:val="Paragrafoelenco"/>
        <w:numPr>
          <w:ilvl w:val="1"/>
          <w:numId w:val="4"/>
        </w:numPr>
        <w:tabs>
          <w:tab w:val="left" w:pos="2228"/>
        </w:tabs>
        <w:spacing w:line="343" w:lineRule="auto"/>
        <w:ind w:right="297" w:firstLine="0"/>
        <w:jc w:val="both"/>
        <w:rPr>
          <w:sz w:val="24"/>
          <w:lang w:val="it-IT"/>
        </w:rPr>
      </w:pPr>
      <w:r w:rsidRPr="004E74E3">
        <w:rPr>
          <w:sz w:val="24"/>
          <w:lang w:val="it-IT"/>
        </w:rPr>
        <w:t xml:space="preserve">Stante tutto quanto sopra, il cliente ha diritto, in accoglimento della domanda da egli formulata, di </w:t>
      </w:r>
      <w:r w:rsidRPr="004E74E3">
        <w:rPr>
          <w:sz w:val="24"/>
          <w:lang w:val="it-IT"/>
        </w:rPr>
        <w:t xml:space="preserve">essere risarcito dei danni subiti a causa della censurabile condotta dell’Intermediario. </w:t>
      </w:r>
      <w:r w:rsidRPr="004E74E3">
        <w:rPr>
          <w:spacing w:val="-5"/>
          <w:sz w:val="24"/>
          <w:lang w:val="it-IT"/>
        </w:rPr>
        <w:t xml:space="preserve">Venendo </w:t>
      </w:r>
      <w:r w:rsidRPr="004E74E3">
        <w:rPr>
          <w:sz w:val="24"/>
          <w:lang w:val="it-IT"/>
        </w:rPr>
        <w:t xml:space="preserve">alla relativa quantificazione, il risarcimento spettante risulta pari a € 25.040,26, quale differenza tra quanto originariamente investito (€ 51.339,260) e il </w:t>
      </w:r>
      <w:r w:rsidRPr="004E74E3">
        <w:rPr>
          <w:sz w:val="24"/>
          <w:lang w:val="it-IT"/>
        </w:rPr>
        <w:t>valore delle azioni, in cui sono stati infine convertiti tali titoli, al 25 ottobre 2017, data di riammissione a quotazione delle medesime (€ 26.299,00 calcolato moltiplicando le n. 5.780 azioni per il prezzo di € 4,55), in cui pertanto, in applicazione de</w:t>
      </w:r>
      <w:r w:rsidRPr="004E74E3">
        <w:rPr>
          <w:sz w:val="24"/>
          <w:lang w:val="it-IT"/>
        </w:rPr>
        <w:t>ll’orientamento più volte applicato dal Collegio in casi simili</w:t>
      </w:r>
      <w:r w:rsidRPr="004E74E3">
        <w:rPr>
          <w:spacing w:val="29"/>
          <w:sz w:val="24"/>
          <w:lang w:val="it-IT"/>
        </w:rPr>
        <w:t xml:space="preserve"> </w:t>
      </w:r>
      <w:r w:rsidRPr="004E74E3">
        <w:rPr>
          <w:sz w:val="24"/>
          <w:lang w:val="it-IT"/>
        </w:rPr>
        <w:t>ai</w:t>
      </w:r>
      <w:r w:rsidRPr="004E74E3">
        <w:rPr>
          <w:spacing w:val="30"/>
          <w:sz w:val="24"/>
          <w:lang w:val="it-IT"/>
        </w:rPr>
        <w:t xml:space="preserve"> </w:t>
      </w:r>
      <w:r w:rsidRPr="004E74E3">
        <w:rPr>
          <w:sz w:val="24"/>
          <w:lang w:val="it-IT"/>
        </w:rPr>
        <w:t>sensi</w:t>
      </w:r>
      <w:r w:rsidRPr="004E74E3">
        <w:rPr>
          <w:spacing w:val="30"/>
          <w:sz w:val="24"/>
          <w:lang w:val="it-IT"/>
        </w:rPr>
        <w:t xml:space="preserve"> </w:t>
      </w:r>
      <w:r w:rsidRPr="004E74E3">
        <w:rPr>
          <w:sz w:val="24"/>
          <w:lang w:val="it-IT"/>
        </w:rPr>
        <w:t>dell’art.</w:t>
      </w:r>
      <w:r w:rsidRPr="004E74E3">
        <w:rPr>
          <w:spacing w:val="29"/>
          <w:sz w:val="24"/>
          <w:lang w:val="it-IT"/>
        </w:rPr>
        <w:t xml:space="preserve"> </w:t>
      </w:r>
      <w:r w:rsidRPr="004E74E3">
        <w:rPr>
          <w:sz w:val="24"/>
          <w:lang w:val="it-IT"/>
        </w:rPr>
        <w:t>1227</w:t>
      </w:r>
      <w:r w:rsidRPr="004E74E3">
        <w:rPr>
          <w:spacing w:val="29"/>
          <w:sz w:val="24"/>
          <w:lang w:val="it-IT"/>
        </w:rPr>
        <w:t xml:space="preserve"> </w:t>
      </w:r>
      <w:r w:rsidRPr="004E74E3">
        <w:rPr>
          <w:sz w:val="24"/>
          <w:lang w:val="it-IT"/>
        </w:rPr>
        <w:t>c.c.,</w:t>
      </w:r>
      <w:r w:rsidRPr="004E74E3">
        <w:rPr>
          <w:spacing w:val="31"/>
          <w:sz w:val="24"/>
          <w:lang w:val="it-IT"/>
        </w:rPr>
        <w:t xml:space="preserve"> </w:t>
      </w:r>
      <w:r w:rsidRPr="004E74E3">
        <w:rPr>
          <w:sz w:val="24"/>
          <w:lang w:val="it-IT"/>
        </w:rPr>
        <w:t>il</w:t>
      </w:r>
      <w:r w:rsidRPr="004E74E3">
        <w:rPr>
          <w:spacing w:val="29"/>
          <w:sz w:val="24"/>
          <w:lang w:val="it-IT"/>
        </w:rPr>
        <w:t xml:space="preserve"> </w:t>
      </w:r>
      <w:r w:rsidRPr="004E74E3">
        <w:rPr>
          <w:sz w:val="24"/>
          <w:lang w:val="it-IT"/>
        </w:rPr>
        <w:t>cliente</w:t>
      </w:r>
      <w:r w:rsidRPr="004E74E3">
        <w:rPr>
          <w:spacing w:val="29"/>
          <w:sz w:val="24"/>
          <w:lang w:val="it-IT"/>
        </w:rPr>
        <w:t xml:space="preserve"> </w:t>
      </w:r>
      <w:r w:rsidRPr="004E74E3">
        <w:rPr>
          <w:sz w:val="24"/>
          <w:lang w:val="it-IT"/>
        </w:rPr>
        <w:t>avrebbe</w:t>
      </w:r>
      <w:r w:rsidRPr="004E74E3">
        <w:rPr>
          <w:spacing w:val="32"/>
          <w:sz w:val="24"/>
          <w:lang w:val="it-IT"/>
        </w:rPr>
        <w:t xml:space="preserve"> </w:t>
      </w:r>
      <w:r w:rsidRPr="004E74E3">
        <w:rPr>
          <w:sz w:val="24"/>
          <w:lang w:val="it-IT"/>
        </w:rPr>
        <w:t>potuto</w:t>
      </w:r>
      <w:r w:rsidRPr="004E74E3">
        <w:rPr>
          <w:spacing w:val="29"/>
          <w:sz w:val="24"/>
          <w:lang w:val="it-IT"/>
        </w:rPr>
        <w:t xml:space="preserve"> </w:t>
      </w:r>
      <w:r w:rsidRPr="004E74E3">
        <w:rPr>
          <w:sz w:val="24"/>
          <w:lang w:val="it-IT"/>
        </w:rPr>
        <w:t>procedere</w:t>
      </w:r>
      <w:r w:rsidRPr="004E74E3">
        <w:rPr>
          <w:spacing w:val="29"/>
          <w:sz w:val="24"/>
          <w:lang w:val="it-IT"/>
        </w:rPr>
        <w:t xml:space="preserve"> </w:t>
      </w:r>
      <w:r w:rsidRPr="004E74E3">
        <w:rPr>
          <w:sz w:val="24"/>
          <w:lang w:val="it-IT"/>
        </w:rPr>
        <w:t>alla</w:t>
      </w:r>
    </w:p>
    <w:p w:rsidR="002751E6" w:rsidRPr="004E74E3" w:rsidRDefault="002751E6">
      <w:pPr>
        <w:spacing w:line="343" w:lineRule="auto"/>
        <w:jc w:val="both"/>
        <w:rPr>
          <w:sz w:val="24"/>
          <w:lang w:val="it-IT"/>
        </w:rPr>
        <w:sectPr w:rsidR="002751E6" w:rsidRPr="004E74E3">
          <w:pgSz w:w="11900" w:h="16840"/>
          <w:pgMar w:top="1600" w:right="1680" w:bottom="1180" w:left="0" w:header="0" w:footer="999" w:gutter="0"/>
          <w:cols w:space="720"/>
        </w:sectPr>
      </w:pPr>
    </w:p>
    <w:p w:rsidR="002751E6" w:rsidRPr="004E74E3" w:rsidRDefault="002751E6">
      <w:pPr>
        <w:pStyle w:val="Corpotesto"/>
        <w:rPr>
          <w:sz w:val="20"/>
          <w:lang w:val="it-IT"/>
        </w:rPr>
      </w:pPr>
    </w:p>
    <w:p w:rsidR="002751E6" w:rsidRPr="004E74E3" w:rsidRDefault="002751E6">
      <w:pPr>
        <w:pStyle w:val="Corpotesto"/>
        <w:rPr>
          <w:sz w:val="20"/>
          <w:lang w:val="it-IT"/>
        </w:rPr>
      </w:pPr>
    </w:p>
    <w:p w:rsidR="002751E6" w:rsidRPr="004E74E3" w:rsidRDefault="002751E6">
      <w:pPr>
        <w:pStyle w:val="Corpotesto"/>
        <w:spacing w:before="3"/>
        <w:rPr>
          <w:sz w:val="18"/>
          <w:lang w:val="it-IT"/>
        </w:rPr>
      </w:pPr>
    </w:p>
    <w:p w:rsidR="002751E6" w:rsidRPr="004E74E3" w:rsidRDefault="003D7D83">
      <w:pPr>
        <w:pStyle w:val="Corpotesto"/>
        <w:spacing w:before="90" w:line="343" w:lineRule="auto"/>
        <w:ind w:left="1988" w:right="295"/>
        <w:jc w:val="both"/>
        <w:rPr>
          <w:lang w:val="it-IT"/>
        </w:rPr>
      </w:pPr>
      <w:r w:rsidRPr="004E74E3">
        <w:rPr>
          <w:lang w:val="it-IT"/>
        </w:rPr>
        <w:t>liquidazione delle azioni provenienti dalla conversione delle obbligazioni. Tale importo, debitamente rivalutato, si attesta a € 26.793,08.</w:t>
      </w:r>
    </w:p>
    <w:p w:rsidR="002751E6" w:rsidRPr="004E74E3" w:rsidRDefault="003D7D83">
      <w:pPr>
        <w:pStyle w:val="Corpotesto"/>
        <w:spacing w:line="343" w:lineRule="auto"/>
        <w:ind w:left="1988" w:right="303"/>
        <w:jc w:val="both"/>
        <w:rPr>
          <w:lang w:val="it-IT"/>
        </w:rPr>
      </w:pPr>
      <w:r w:rsidRPr="004E74E3">
        <w:rPr>
          <w:lang w:val="it-IT"/>
        </w:rPr>
        <w:t>Non può, infine, essere accolta la richiesta dell’Intermediario di procedere allo scomputo</w:t>
      </w:r>
      <w:r w:rsidRPr="004E74E3">
        <w:rPr>
          <w:spacing w:val="10"/>
          <w:lang w:val="it-IT"/>
        </w:rPr>
        <w:t xml:space="preserve"> </w:t>
      </w:r>
      <w:r w:rsidRPr="004E74E3">
        <w:rPr>
          <w:lang w:val="it-IT"/>
        </w:rPr>
        <w:t>delle</w:t>
      </w:r>
      <w:r w:rsidRPr="004E74E3">
        <w:rPr>
          <w:spacing w:val="12"/>
          <w:lang w:val="it-IT"/>
        </w:rPr>
        <w:t xml:space="preserve"> </w:t>
      </w:r>
      <w:r w:rsidRPr="004E74E3">
        <w:rPr>
          <w:lang w:val="it-IT"/>
        </w:rPr>
        <w:t>cedole</w:t>
      </w:r>
      <w:r w:rsidRPr="004E74E3">
        <w:rPr>
          <w:spacing w:val="11"/>
          <w:lang w:val="it-IT"/>
        </w:rPr>
        <w:t xml:space="preserve"> </w:t>
      </w:r>
      <w:r w:rsidRPr="004E74E3">
        <w:rPr>
          <w:lang w:val="it-IT"/>
        </w:rPr>
        <w:t>asseritament</w:t>
      </w:r>
      <w:r w:rsidRPr="004E74E3">
        <w:rPr>
          <w:lang w:val="it-IT"/>
        </w:rPr>
        <w:t>e</w:t>
      </w:r>
      <w:r w:rsidRPr="004E74E3">
        <w:rPr>
          <w:spacing w:val="12"/>
          <w:lang w:val="it-IT"/>
        </w:rPr>
        <w:t xml:space="preserve"> </w:t>
      </w:r>
      <w:r w:rsidRPr="004E74E3">
        <w:rPr>
          <w:lang w:val="it-IT"/>
        </w:rPr>
        <w:t>incassate</w:t>
      </w:r>
      <w:r w:rsidRPr="004E74E3">
        <w:rPr>
          <w:spacing w:val="11"/>
          <w:lang w:val="it-IT"/>
        </w:rPr>
        <w:t xml:space="preserve"> </w:t>
      </w:r>
      <w:r w:rsidRPr="004E74E3">
        <w:rPr>
          <w:lang w:val="it-IT"/>
        </w:rPr>
        <w:t>da</w:t>
      </w:r>
      <w:r w:rsidRPr="004E74E3">
        <w:rPr>
          <w:spacing w:val="11"/>
          <w:lang w:val="it-IT"/>
        </w:rPr>
        <w:t xml:space="preserve"> </w:t>
      </w:r>
      <w:r w:rsidRPr="004E74E3">
        <w:rPr>
          <w:lang w:val="it-IT"/>
        </w:rPr>
        <w:t>Parte</w:t>
      </w:r>
      <w:r w:rsidRPr="004E74E3">
        <w:rPr>
          <w:spacing w:val="10"/>
          <w:lang w:val="it-IT"/>
        </w:rPr>
        <w:t xml:space="preserve"> </w:t>
      </w:r>
      <w:r w:rsidRPr="004E74E3">
        <w:rPr>
          <w:lang w:val="it-IT"/>
        </w:rPr>
        <w:t>ricorrente</w:t>
      </w:r>
      <w:r w:rsidRPr="004E74E3">
        <w:rPr>
          <w:spacing w:val="12"/>
          <w:lang w:val="it-IT"/>
        </w:rPr>
        <w:t xml:space="preserve"> </w:t>
      </w:r>
      <w:r w:rsidRPr="004E74E3">
        <w:rPr>
          <w:lang w:val="it-IT"/>
        </w:rPr>
        <w:t>per</w:t>
      </w:r>
      <w:r w:rsidRPr="004E74E3">
        <w:rPr>
          <w:spacing w:val="10"/>
          <w:lang w:val="it-IT"/>
        </w:rPr>
        <w:t xml:space="preserve"> </w:t>
      </w:r>
      <w:r w:rsidRPr="004E74E3">
        <w:rPr>
          <w:lang w:val="it-IT"/>
        </w:rPr>
        <w:t>un</w:t>
      </w:r>
      <w:r w:rsidRPr="004E74E3">
        <w:rPr>
          <w:spacing w:val="11"/>
          <w:lang w:val="it-IT"/>
        </w:rPr>
        <w:t xml:space="preserve"> </w:t>
      </w:r>
      <w:r w:rsidRPr="004E74E3">
        <w:rPr>
          <w:lang w:val="it-IT"/>
        </w:rPr>
        <w:t>totale</w:t>
      </w:r>
      <w:r w:rsidRPr="004E74E3">
        <w:rPr>
          <w:spacing w:val="12"/>
          <w:lang w:val="it-IT"/>
        </w:rPr>
        <w:t xml:space="preserve"> </w:t>
      </w:r>
      <w:r w:rsidRPr="004E74E3">
        <w:rPr>
          <w:lang w:val="it-IT"/>
        </w:rPr>
        <w:t>di</w:t>
      </w:r>
    </w:p>
    <w:p w:rsidR="002751E6" w:rsidRPr="004E74E3" w:rsidRDefault="003D7D83">
      <w:pPr>
        <w:pStyle w:val="Corpotesto"/>
        <w:spacing w:before="1" w:line="343" w:lineRule="auto"/>
        <w:ind w:left="1988" w:right="297"/>
        <w:jc w:val="both"/>
        <w:rPr>
          <w:lang w:val="it-IT"/>
        </w:rPr>
      </w:pPr>
      <w:r w:rsidRPr="004E74E3">
        <w:rPr>
          <w:lang w:val="it-IT"/>
        </w:rPr>
        <w:t>€ 12.432,00, rispetto al che tuttavia omette di fornire elementi documentali a suffragio e fermo restando che tale richiesta è stata comunque formulata dall’Intermediario medesimo solo in sede di repliche finali, non dando così a Parte ricorrente la possib</w:t>
      </w:r>
      <w:r w:rsidRPr="004E74E3">
        <w:rPr>
          <w:lang w:val="it-IT"/>
        </w:rPr>
        <w:t>ilità di contestarla o revocarla in dubbio, con evidente lesione del diritto di difesa dell’investitore e del contradditorio procedimentale tra le</w:t>
      </w:r>
      <w:r w:rsidRPr="004E74E3">
        <w:rPr>
          <w:spacing w:val="-24"/>
          <w:lang w:val="it-IT"/>
        </w:rPr>
        <w:t xml:space="preserve"> </w:t>
      </w:r>
      <w:r w:rsidRPr="004E74E3">
        <w:rPr>
          <w:lang w:val="it-IT"/>
        </w:rPr>
        <w:t>parti.</w:t>
      </w:r>
    </w:p>
    <w:p w:rsidR="002751E6" w:rsidRPr="004E74E3" w:rsidRDefault="002751E6">
      <w:pPr>
        <w:pStyle w:val="Corpotesto"/>
        <w:spacing w:before="6"/>
        <w:rPr>
          <w:sz w:val="34"/>
          <w:lang w:val="it-IT"/>
        </w:rPr>
      </w:pPr>
    </w:p>
    <w:p w:rsidR="002751E6" w:rsidRPr="004E74E3" w:rsidRDefault="003D7D83">
      <w:pPr>
        <w:pStyle w:val="Titolo1"/>
        <w:ind w:left="5523" w:right="3833"/>
        <w:jc w:val="center"/>
        <w:rPr>
          <w:lang w:val="it-IT"/>
        </w:rPr>
      </w:pPr>
      <w:r w:rsidRPr="004E74E3">
        <w:rPr>
          <w:lang w:val="it-IT"/>
        </w:rPr>
        <w:t>PQM</w:t>
      </w:r>
    </w:p>
    <w:p w:rsidR="002751E6" w:rsidRPr="004E74E3" w:rsidRDefault="003D7D83">
      <w:pPr>
        <w:pStyle w:val="Corpotesto"/>
        <w:spacing w:before="120" w:line="343" w:lineRule="auto"/>
        <w:ind w:left="1987" w:right="298"/>
        <w:jc w:val="both"/>
        <w:rPr>
          <w:lang w:val="it-IT"/>
        </w:rPr>
      </w:pPr>
      <w:r w:rsidRPr="004E74E3">
        <w:rPr>
          <w:lang w:val="it-IT"/>
        </w:rPr>
        <w:t>Il Collegio, in accoglimento del ricorso, dichiara l’Intermediario tenuto a corrispondere a Parte</w:t>
      </w:r>
      <w:r w:rsidRPr="004E74E3">
        <w:rPr>
          <w:lang w:val="it-IT"/>
        </w:rPr>
        <w:t xml:space="preserve"> ricorrente, a titolo risarcitorio, la somma complessiva rivalutata di euro 26.793,08, su cui sono dovuti gli interessi legali sino al soddisfo, e fissa il termine per l’esecuzione in trenta giorni dalla ricezione della decisione.</w:t>
      </w:r>
    </w:p>
    <w:p w:rsidR="002751E6" w:rsidRPr="004E74E3" w:rsidRDefault="003D7D83">
      <w:pPr>
        <w:pStyle w:val="Corpotesto"/>
        <w:spacing w:before="1" w:line="343" w:lineRule="auto"/>
        <w:ind w:left="1987" w:right="297"/>
        <w:jc w:val="both"/>
        <w:rPr>
          <w:lang w:val="it-IT"/>
        </w:rPr>
      </w:pPr>
      <w:r w:rsidRPr="004E74E3">
        <w:rPr>
          <w:lang w:val="it-IT"/>
        </w:rPr>
        <w:t>Entro lo stesso termine l</w:t>
      </w:r>
      <w:r w:rsidRPr="004E74E3">
        <w:rPr>
          <w:lang w:val="it-IT"/>
        </w:rPr>
        <w:t xml:space="preserve">’intermediario comunica all’ACF, utilizzando esclusivamente l’apposito applicativo disponibile accedendo all’area riservata del sito istituzionale </w:t>
      </w:r>
      <w:hyperlink r:id="rId10">
        <w:r w:rsidRPr="004E74E3">
          <w:rPr>
            <w:color w:val="0000FF"/>
            <w:u w:val="single" w:color="0000FF"/>
            <w:lang w:val="it-IT"/>
          </w:rPr>
          <w:t>www.acf.consob.it</w:t>
        </w:r>
        <w:r w:rsidRPr="004E74E3">
          <w:rPr>
            <w:lang w:val="it-IT"/>
          </w:rPr>
          <w:t xml:space="preserve">, </w:t>
        </w:r>
      </w:hyperlink>
      <w:r w:rsidRPr="004E74E3">
        <w:rPr>
          <w:lang w:val="it-IT"/>
        </w:rPr>
        <w:t>gli atti realizzati al fine di conformarsi al</w:t>
      </w:r>
      <w:r w:rsidRPr="004E74E3">
        <w:rPr>
          <w:lang w:val="it-IT"/>
        </w:rPr>
        <w:t>la decisione, ai sensi dell’art. 16, comma 1, del regolamento adottato dalla Consob con delibera n. 19602 del 4 maggio 2016.</w:t>
      </w:r>
    </w:p>
    <w:p w:rsidR="002751E6" w:rsidRPr="004E74E3" w:rsidRDefault="003D7D83">
      <w:pPr>
        <w:pStyle w:val="Corpotesto"/>
        <w:spacing w:before="1" w:line="343" w:lineRule="auto"/>
        <w:ind w:left="1988" w:right="300"/>
        <w:jc w:val="both"/>
        <w:rPr>
          <w:lang w:val="it-IT"/>
        </w:rPr>
      </w:pPr>
      <w:r w:rsidRPr="004E74E3">
        <w:rPr>
          <w:lang w:val="it-IT"/>
        </w:rPr>
        <w:t>L’intermediario è tenuto a versare alla Consob la somma di € 400,00, ai sensi dell’art. 18, comma 3, del citato regolamento, adotta</w:t>
      </w:r>
      <w:r w:rsidRPr="004E74E3">
        <w:rPr>
          <w:lang w:val="it-IT"/>
        </w:rPr>
        <w:t xml:space="preserve">to con delibera n. 19602 del 4 maggio 2016, secondo le modalità indicate nel sito istituzionale </w:t>
      </w:r>
      <w:hyperlink r:id="rId11">
        <w:r w:rsidRPr="004E74E3">
          <w:rPr>
            <w:color w:val="0000FF"/>
            <w:u w:val="single" w:color="0000FF"/>
            <w:lang w:val="it-IT"/>
          </w:rPr>
          <w:t>www.acf.consob.it</w:t>
        </w:r>
        <w:r w:rsidRPr="004E74E3">
          <w:rPr>
            <w:lang w:val="it-IT"/>
          </w:rPr>
          <w:t>,</w:t>
        </w:r>
      </w:hyperlink>
      <w:r w:rsidRPr="004E74E3">
        <w:rPr>
          <w:lang w:val="it-IT"/>
        </w:rPr>
        <w:t xml:space="preserve"> sezione “Intermediari”.</w:t>
      </w:r>
    </w:p>
    <w:p w:rsidR="002751E6" w:rsidRPr="004E74E3" w:rsidRDefault="002751E6">
      <w:pPr>
        <w:pStyle w:val="Corpotesto"/>
        <w:spacing w:before="6"/>
        <w:rPr>
          <w:sz w:val="34"/>
          <w:lang w:val="it-IT"/>
        </w:rPr>
      </w:pPr>
    </w:p>
    <w:p w:rsidR="002751E6" w:rsidRPr="004E74E3" w:rsidRDefault="003D7D83">
      <w:pPr>
        <w:pStyle w:val="Corpotesto"/>
        <w:spacing w:before="1"/>
        <w:ind w:left="6236"/>
        <w:rPr>
          <w:lang w:val="it-IT"/>
        </w:rPr>
      </w:pPr>
      <w:r w:rsidRPr="004E74E3">
        <w:rPr>
          <w:lang w:val="it-IT"/>
        </w:rPr>
        <w:t>Il Presidente</w:t>
      </w:r>
    </w:p>
    <w:p w:rsidR="002751E6" w:rsidRPr="004E74E3" w:rsidRDefault="003D7D83">
      <w:pPr>
        <w:spacing w:before="218" w:line="208" w:lineRule="auto"/>
        <w:ind w:left="6460" w:right="1531"/>
        <w:rPr>
          <w:sz w:val="16"/>
          <w:lang w:val="it-IT"/>
        </w:rPr>
      </w:pPr>
      <w:r w:rsidRPr="004E74E3">
        <w:rPr>
          <w:sz w:val="16"/>
          <w:lang w:val="it-IT"/>
        </w:rPr>
        <w:t>Firmato digitalmente da: Gianpaolo Eduardo Barbuzzi</w:t>
      </w:r>
    </w:p>
    <w:sectPr w:rsidR="002751E6" w:rsidRPr="004E74E3">
      <w:pgSz w:w="11900" w:h="16840"/>
      <w:pgMar w:top="1600" w:right="1680" w:bottom="1180" w:left="0" w:header="0" w:footer="9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D83" w:rsidRDefault="003D7D83">
      <w:r>
        <w:separator/>
      </w:r>
    </w:p>
  </w:endnote>
  <w:endnote w:type="continuationSeparator" w:id="0">
    <w:p w:rsidR="003D7D83" w:rsidRDefault="003D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E6" w:rsidRDefault="004E74E3">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3708400</wp:posOffset>
              </wp:positionH>
              <wp:positionV relativeFrom="page">
                <wp:posOffset>9919335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1E6" w:rsidRDefault="003D7D83">
                          <w:pPr>
                            <w:spacing w:line="244" w:lineRule="exact"/>
                            <w:ind w:left="60"/>
                            <w:rPr>
                              <w:rFonts w:ascii="Calibri"/>
                            </w:rPr>
                          </w:pPr>
                          <w:r>
                            <w:fldChar w:fldCharType="begin"/>
                          </w:r>
                          <w:r>
                            <w:rPr>
                              <w:rFonts w:ascii="Calibri"/>
                            </w:rPr>
                            <w:instrText xml:space="preserve"> PAGE </w:instrText>
                          </w:r>
                          <w:r>
                            <w:fldChar w:fldCharType="separate"/>
                          </w:r>
                          <w:r w:rsidR="004E74E3">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pt;margin-top:781.0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" filled="f" stroked="f">
              <v:textbox inset="0,0,0,0">
                <w:txbxContent>
                  <w:p w:rsidR="002751E6" w:rsidRDefault="003D7D83">
                    <w:pPr>
                      <w:spacing w:line="244" w:lineRule="exact"/>
                      <w:ind w:left="60"/>
                      <w:rPr>
                        <w:rFonts w:ascii="Calibri"/>
                      </w:rPr>
                    </w:pPr>
                    <w:r>
                      <w:fldChar w:fldCharType="begin"/>
                    </w:r>
                    <w:r>
                      <w:rPr>
                        <w:rFonts w:ascii="Calibri"/>
                      </w:rPr>
                      <w:instrText xml:space="preserve"> PAGE </w:instrText>
                    </w:r>
                    <w:r>
                      <w:fldChar w:fldCharType="separate"/>
                    </w:r>
                    <w:r w:rsidR="004E74E3">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D83" w:rsidRDefault="003D7D83">
      <w:r>
        <w:separator/>
      </w:r>
    </w:p>
  </w:footnote>
  <w:footnote w:type="continuationSeparator" w:id="0">
    <w:p w:rsidR="003D7D83" w:rsidRDefault="003D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3948"/>
    <w:multiLevelType w:val="hybridMultilevel"/>
    <w:tmpl w:val="882466F8"/>
    <w:lvl w:ilvl="0" w:tplc="94A4F5FE">
      <w:numFmt w:val="bullet"/>
      <w:lvlText w:val=""/>
      <w:lvlJc w:val="left"/>
      <w:pPr>
        <w:ind w:left="1998" w:hanging="284"/>
      </w:pPr>
      <w:rPr>
        <w:rFonts w:ascii="Symbol" w:eastAsia="Symbol" w:hAnsi="Symbol" w:cs="Symbol" w:hint="default"/>
        <w:w w:val="60"/>
        <w:sz w:val="24"/>
        <w:szCs w:val="24"/>
      </w:rPr>
    </w:lvl>
    <w:lvl w:ilvl="1" w:tplc="957E7B50">
      <w:numFmt w:val="bullet"/>
      <w:lvlText w:val="•"/>
      <w:lvlJc w:val="left"/>
      <w:pPr>
        <w:ind w:left="2822" w:hanging="284"/>
      </w:pPr>
      <w:rPr>
        <w:rFonts w:hint="default"/>
      </w:rPr>
    </w:lvl>
    <w:lvl w:ilvl="2" w:tplc="3028F0E4">
      <w:numFmt w:val="bullet"/>
      <w:lvlText w:val="•"/>
      <w:lvlJc w:val="left"/>
      <w:pPr>
        <w:ind w:left="3644" w:hanging="284"/>
      </w:pPr>
      <w:rPr>
        <w:rFonts w:hint="default"/>
      </w:rPr>
    </w:lvl>
    <w:lvl w:ilvl="3" w:tplc="238ACB24">
      <w:numFmt w:val="bullet"/>
      <w:lvlText w:val="•"/>
      <w:lvlJc w:val="left"/>
      <w:pPr>
        <w:ind w:left="4466" w:hanging="284"/>
      </w:pPr>
      <w:rPr>
        <w:rFonts w:hint="default"/>
      </w:rPr>
    </w:lvl>
    <w:lvl w:ilvl="4" w:tplc="9DD8D9F8">
      <w:numFmt w:val="bullet"/>
      <w:lvlText w:val="•"/>
      <w:lvlJc w:val="left"/>
      <w:pPr>
        <w:ind w:left="5288" w:hanging="284"/>
      </w:pPr>
      <w:rPr>
        <w:rFonts w:hint="default"/>
      </w:rPr>
    </w:lvl>
    <w:lvl w:ilvl="5" w:tplc="AAD8CD34">
      <w:numFmt w:val="bullet"/>
      <w:lvlText w:val="•"/>
      <w:lvlJc w:val="left"/>
      <w:pPr>
        <w:ind w:left="6110" w:hanging="284"/>
      </w:pPr>
      <w:rPr>
        <w:rFonts w:hint="default"/>
      </w:rPr>
    </w:lvl>
    <w:lvl w:ilvl="6" w:tplc="CAF83948">
      <w:numFmt w:val="bullet"/>
      <w:lvlText w:val="•"/>
      <w:lvlJc w:val="left"/>
      <w:pPr>
        <w:ind w:left="6932" w:hanging="284"/>
      </w:pPr>
      <w:rPr>
        <w:rFonts w:hint="default"/>
      </w:rPr>
    </w:lvl>
    <w:lvl w:ilvl="7" w:tplc="E4A04D28">
      <w:numFmt w:val="bullet"/>
      <w:lvlText w:val="•"/>
      <w:lvlJc w:val="left"/>
      <w:pPr>
        <w:ind w:left="7754" w:hanging="284"/>
      </w:pPr>
      <w:rPr>
        <w:rFonts w:hint="default"/>
      </w:rPr>
    </w:lvl>
    <w:lvl w:ilvl="8" w:tplc="5E8C97E6">
      <w:numFmt w:val="bullet"/>
      <w:lvlText w:val="•"/>
      <w:lvlJc w:val="left"/>
      <w:pPr>
        <w:ind w:left="8576" w:hanging="284"/>
      </w:pPr>
      <w:rPr>
        <w:rFonts w:hint="default"/>
      </w:rPr>
    </w:lvl>
  </w:abstractNum>
  <w:abstractNum w:abstractNumId="1">
    <w:nsid w:val="5EFF33B6"/>
    <w:multiLevelType w:val="hybridMultilevel"/>
    <w:tmpl w:val="33780E22"/>
    <w:lvl w:ilvl="0" w:tplc="B3F2F162">
      <w:start w:val="1"/>
      <w:numFmt w:val="decimal"/>
      <w:lvlText w:val="%1."/>
      <w:lvlJc w:val="left"/>
      <w:pPr>
        <w:ind w:left="1988" w:hanging="360"/>
        <w:jc w:val="left"/>
      </w:pPr>
      <w:rPr>
        <w:rFonts w:ascii="Times New Roman" w:eastAsia="Times New Roman" w:hAnsi="Times New Roman" w:cs="Times New Roman" w:hint="default"/>
        <w:b/>
        <w:bCs/>
        <w:i/>
        <w:spacing w:val="-4"/>
        <w:w w:val="100"/>
        <w:sz w:val="24"/>
        <w:szCs w:val="24"/>
      </w:rPr>
    </w:lvl>
    <w:lvl w:ilvl="1" w:tplc="D8F00126">
      <w:start w:val="1"/>
      <w:numFmt w:val="decimal"/>
      <w:lvlText w:val="%2."/>
      <w:lvlJc w:val="left"/>
      <w:pPr>
        <w:ind w:left="1988" w:hanging="250"/>
        <w:jc w:val="left"/>
      </w:pPr>
      <w:rPr>
        <w:rFonts w:hint="default"/>
        <w:b/>
        <w:bCs/>
        <w:i/>
        <w:w w:val="100"/>
      </w:rPr>
    </w:lvl>
    <w:lvl w:ilvl="2" w:tplc="521A10C4">
      <w:numFmt w:val="bullet"/>
      <w:lvlText w:val="•"/>
      <w:lvlJc w:val="left"/>
      <w:pPr>
        <w:ind w:left="2534" w:hanging="250"/>
      </w:pPr>
      <w:rPr>
        <w:rFonts w:hint="default"/>
      </w:rPr>
    </w:lvl>
    <w:lvl w:ilvl="3" w:tplc="86A290BE">
      <w:numFmt w:val="bullet"/>
      <w:lvlText w:val="•"/>
      <w:lvlJc w:val="left"/>
      <w:pPr>
        <w:ind w:left="2811" w:hanging="250"/>
      </w:pPr>
      <w:rPr>
        <w:rFonts w:hint="default"/>
      </w:rPr>
    </w:lvl>
    <w:lvl w:ilvl="4" w:tplc="620CDC46">
      <w:numFmt w:val="bullet"/>
      <w:lvlText w:val="•"/>
      <w:lvlJc w:val="left"/>
      <w:pPr>
        <w:ind w:left="3089" w:hanging="250"/>
      </w:pPr>
      <w:rPr>
        <w:rFonts w:hint="default"/>
      </w:rPr>
    </w:lvl>
    <w:lvl w:ilvl="5" w:tplc="1294F528">
      <w:numFmt w:val="bullet"/>
      <w:lvlText w:val="•"/>
      <w:lvlJc w:val="left"/>
      <w:pPr>
        <w:ind w:left="3366" w:hanging="250"/>
      </w:pPr>
      <w:rPr>
        <w:rFonts w:hint="default"/>
      </w:rPr>
    </w:lvl>
    <w:lvl w:ilvl="6" w:tplc="87844F6A">
      <w:numFmt w:val="bullet"/>
      <w:lvlText w:val="•"/>
      <w:lvlJc w:val="left"/>
      <w:pPr>
        <w:ind w:left="3643" w:hanging="250"/>
      </w:pPr>
      <w:rPr>
        <w:rFonts w:hint="default"/>
      </w:rPr>
    </w:lvl>
    <w:lvl w:ilvl="7" w:tplc="183ACB50">
      <w:numFmt w:val="bullet"/>
      <w:lvlText w:val="•"/>
      <w:lvlJc w:val="left"/>
      <w:pPr>
        <w:ind w:left="3921" w:hanging="250"/>
      </w:pPr>
      <w:rPr>
        <w:rFonts w:hint="default"/>
      </w:rPr>
    </w:lvl>
    <w:lvl w:ilvl="8" w:tplc="5E3CAB12">
      <w:numFmt w:val="bullet"/>
      <w:lvlText w:val="•"/>
      <w:lvlJc w:val="left"/>
      <w:pPr>
        <w:ind w:left="4198" w:hanging="250"/>
      </w:pPr>
      <w:rPr>
        <w:rFonts w:hint="default"/>
      </w:rPr>
    </w:lvl>
  </w:abstractNum>
  <w:abstractNum w:abstractNumId="2">
    <w:nsid w:val="6C5538E4"/>
    <w:multiLevelType w:val="hybridMultilevel"/>
    <w:tmpl w:val="92AAF67E"/>
    <w:lvl w:ilvl="0" w:tplc="D7D48FAE">
      <w:numFmt w:val="bullet"/>
      <w:lvlText w:val=""/>
      <w:lvlJc w:val="left"/>
      <w:pPr>
        <w:ind w:left="1988" w:hanging="284"/>
      </w:pPr>
      <w:rPr>
        <w:rFonts w:hint="default"/>
        <w:w w:val="60"/>
      </w:rPr>
    </w:lvl>
    <w:lvl w:ilvl="1" w:tplc="90A23E6C">
      <w:numFmt w:val="bullet"/>
      <w:lvlText w:val="•"/>
      <w:lvlJc w:val="left"/>
      <w:pPr>
        <w:ind w:left="2804" w:hanging="284"/>
      </w:pPr>
      <w:rPr>
        <w:rFonts w:hint="default"/>
      </w:rPr>
    </w:lvl>
    <w:lvl w:ilvl="2" w:tplc="43020C6E">
      <w:numFmt w:val="bullet"/>
      <w:lvlText w:val="•"/>
      <w:lvlJc w:val="left"/>
      <w:pPr>
        <w:ind w:left="3628" w:hanging="284"/>
      </w:pPr>
      <w:rPr>
        <w:rFonts w:hint="default"/>
      </w:rPr>
    </w:lvl>
    <w:lvl w:ilvl="3" w:tplc="4FA86220">
      <w:numFmt w:val="bullet"/>
      <w:lvlText w:val="•"/>
      <w:lvlJc w:val="left"/>
      <w:pPr>
        <w:ind w:left="4452" w:hanging="284"/>
      </w:pPr>
      <w:rPr>
        <w:rFonts w:hint="default"/>
      </w:rPr>
    </w:lvl>
    <w:lvl w:ilvl="4" w:tplc="D12AE3AC">
      <w:numFmt w:val="bullet"/>
      <w:lvlText w:val="•"/>
      <w:lvlJc w:val="left"/>
      <w:pPr>
        <w:ind w:left="5276" w:hanging="284"/>
      </w:pPr>
      <w:rPr>
        <w:rFonts w:hint="default"/>
      </w:rPr>
    </w:lvl>
    <w:lvl w:ilvl="5" w:tplc="CD04C976">
      <w:numFmt w:val="bullet"/>
      <w:lvlText w:val="•"/>
      <w:lvlJc w:val="left"/>
      <w:pPr>
        <w:ind w:left="6100" w:hanging="284"/>
      </w:pPr>
      <w:rPr>
        <w:rFonts w:hint="default"/>
      </w:rPr>
    </w:lvl>
    <w:lvl w:ilvl="6" w:tplc="364C48D2">
      <w:numFmt w:val="bullet"/>
      <w:lvlText w:val="•"/>
      <w:lvlJc w:val="left"/>
      <w:pPr>
        <w:ind w:left="6924" w:hanging="284"/>
      </w:pPr>
      <w:rPr>
        <w:rFonts w:hint="default"/>
      </w:rPr>
    </w:lvl>
    <w:lvl w:ilvl="7" w:tplc="2CFAE152">
      <w:numFmt w:val="bullet"/>
      <w:lvlText w:val="•"/>
      <w:lvlJc w:val="left"/>
      <w:pPr>
        <w:ind w:left="7748" w:hanging="284"/>
      </w:pPr>
      <w:rPr>
        <w:rFonts w:hint="default"/>
      </w:rPr>
    </w:lvl>
    <w:lvl w:ilvl="8" w:tplc="C422EACE">
      <w:numFmt w:val="bullet"/>
      <w:lvlText w:val="•"/>
      <w:lvlJc w:val="left"/>
      <w:pPr>
        <w:ind w:left="8572" w:hanging="284"/>
      </w:pPr>
      <w:rPr>
        <w:rFonts w:hint="default"/>
      </w:rPr>
    </w:lvl>
  </w:abstractNum>
  <w:abstractNum w:abstractNumId="3">
    <w:nsid w:val="7851028B"/>
    <w:multiLevelType w:val="hybridMultilevel"/>
    <w:tmpl w:val="7784798A"/>
    <w:lvl w:ilvl="0" w:tplc="2B7A4C64">
      <w:numFmt w:val="bullet"/>
      <w:lvlText w:val=""/>
      <w:lvlJc w:val="left"/>
      <w:pPr>
        <w:ind w:left="1988" w:hanging="284"/>
      </w:pPr>
      <w:rPr>
        <w:rFonts w:ascii="Symbol" w:eastAsia="Symbol" w:hAnsi="Symbol" w:cs="Symbol" w:hint="default"/>
        <w:w w:val="60"/>
        <w:sz w:val="24"/>
        <w:szCs w:val="24"/>
      </w:rPr>
    </w:lvl>
    <w:lvl w:ilvl="1" w:tplc="11D447CA">
      <w:numFmt w:val="bullet"/>
      <w:lvlText w:val="•"/>
      <w:lvlJc w:val="left"/>
      <w:pPr>
        <w:ind w:left="2804" w:hanging="284"/>
      </w:pPr>
      <w:rPr>
        <w:rFonts w:hint="default"/>
      </w:rPr>
    </w:lvl>
    <w:lvl w:ilvl="2" w:tplc="6264F69E">
      <w:numFmt w:val="bullet"/>
      <w:lvlText w:val="•"/>
      <w:lvlJc w:val="left"/>
      <w:pPr>
        <w:ind w:left="3628" w:hanging="284"/>
      </w:pPr>
      <w:rPr>
        <w:rFonts w:hint="default"/>
      </w:rPr>
    </w:lvl>
    <w:lvl w:ilvl="3" w:tplc="CA50148C">
      <w:numFmt w:val="bullet"/>
      <w:lvlText w:val="•"/>
      <w:lvlJc w:val="left"/>
      <w:pPr>
        <w:ind w:left="4452" w:hanging="284"/>
      </w:pPr>
      <w:rPr>
        <w:rFonts w:hint="default"/>
      </w:rPr>
    </w:lvl>
    <w:lvl w:ilvl="4" w:tplc="879848C4">
      <w:numFmt w:val="bullet"/>
      <w:lvlText w:val="•"/>
      <w:lvlJc w:val="left"/>
      <w:pPr>
        <w:ind w:left="5276" w:hanging="284"/>
      </w:pPr>
      <w:rPr>
        <w:rFonts w:hint="default"/>
      </w:rPr>
    </w:lvl>
    <w:lvl w:ilvl="5" w:tplc="D37E1570">
      <w:numFmt w:val="bullet"/>
      <w:lvlText w:val="•"/>
      <w:lvlJc w:val="left"/>
      <w:pPr>
        <w:ind w:left="6100" w:hanging="284"/>
      </w:pPr>
      <w:rPr>
        <w:rFonts w:hint="default"/>
      </w:rPr>
    </w:lvl>
    <w:lvl w:ilvl="6" w:tplc="B032DB2A">
      <w:numFmt w:val="bullet"/>
      <w:lvlText w:val="•"/>
      <w:lvlJc w:val="left"/>
      <w:pPr>
        <w:ind w:left="6924" w:hanging="284"/>
      </w:pPr>
      <w:rPr>
        <w:rFonts w:hint="default"/>
      </w:rPr>
    </w:lvl>
    <w:lvl w:ilvl="7" w:tplc="56600E1C">
      <w:numFmt w:val="bullet"/>
      <w:lvlText w:val="•"/>
      <w:lvlJc w:val="left"/>
      <w:pPr>
        <w:ind w:left="7748" w:hanging="284"/>
      </w:pPr>
      <w:rPr>
        <w:rFonts w:hint="default"/>
      </w:rPr>
    </w:lvl>
    <w:lvl w:ilvl="8" w:tplc="C19653D0">
      <w:numFmt w:val="bullet"/>
      <w:lvlText w:val="•"/>
      <w:lvlJc w:val="left"/>
      <w:pPr>
        <w:ind w:left="8572" w:hanging="2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E6"/>
    <w:rsid w:val="002751E6"/>
    <w:rsid w:val="003D7D83"/>
    <w:rsid w:val="004E74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09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988" w:hanging="284"/>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09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988" w:hanging="28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f.consob.it/" TargetMode="External"/><Relationship Id="rId5" Type="http://schemas.openxmlformats.org/officeDocument/2006/relationships/webSettings" Target="webSettings.xml"/><Relationship Id="rId10" Type="http://schemas.openxmlformats.org/officeDocument/2006/relationships/hyperlink" Target="http://www.acf.consob.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2384</Words>
  <Characters>13590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2020-02-18T15:14:00Z</dcterms:created>
  <dcterms:modified xsi:type="dcterms:W3CDTF">2020-02-18T15:14:00Z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LastSaved">
    <vt:filetime>2020-02-18T00:00:00Z</vt:filetime>
  </property>
</Properties>
</file>